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43B7" w14:textId="77777777" w:rsidR="00902933" w:rsidRDefault="00902933" w:rsidP="00E22E4D">
      <w:pPr>
        <w:pStyle w:val="Default"/>
        <w:spacing w:after="60"/>
        <w:rPr>
          <w:b/>
          <w:color w:val="C00000"/>
        </w:rPr>
      </w:pPr>
    </w:p>
    <w:p w14:paraId="4902AF3A" w14:textId="77777777" w:rsidR="002F1A4B" w:rsidRDefault="000A56A4" w:rsidP="000A56A4">
      <w:pPr>
        <w:pStyle w:val="Default"/>
        <w:spacing w:after="60"/>
        <w:jc w:val="center"/>
        <w:rPr>
          <w:b/>
          <w:color w:val="C00000"/>
        </w:rPr>
      </w:pPr>
      <w:r w:rsidRPr="005D762B">
        <w:rPr>
          <w:b/>
          <w:color w:val="C00000"/>
        </w:rPr>
        <w:t>CONTENIDO DE LA PONENCIA EN CURSO O TERMINADA</w:t>
      </w:r>
    </w:p>
    <w:p w14:paraId="0709258E" w14:textId="77777777" w:rsidR="00E22E4D" w:rsidRDefault="00E22E4D" w:rsidP="000A56A4">
      <w:pPr>
        <w:pStyle w:val="Default"/>
        <w:spacing w:after="60"/>
        <w:jc w:val="center"/>
        <w:rPr>
          <w:b/>
          <w:color w:val="C00000"/>
        </w:rPr>
      </w:pPr>
    </w:p>
    <w:tbl>
      <w:tblPr>
        <w:tblW w:w="10065"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414"/>
        <w:gridCol w:w="5651"/>
      </w:tblGrid>
      <w:tr w:rsidR="002F1A4B" w:rsidRPr="00C84FC7" w14:paraId="7C2BCDD4" w14:textId="77777777" w:rsidTr="0070603A">
        <w:trPr>
          <w:trHeight w:val="261"/>
        </w:trPr>
        <w:tc>
          <w:tcPr>
            <w:tcW w:w="4414" w:type="dxa"/>
            <w:vAlign w:val="center"/>
          </w:tcPr>
          <w:p w14:paraId="04F27821"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Universidad o Institución Educativa</w:t>
            </w:r>
          </w:p>
        </w:tc>
        <w:tc>
          <w:tcPr>
            <w:tcW w:w="5651" w:type="dxa"/>
            <w:vAlign w:val="center"/>
          </w:tcPr>
          <w:p w14:paraId="64F73EA9" w14:textId="77777777" w:rsidR="002F1A4B" w:rsidRPr="005D762B" w:rsidRDefault="0011337E" w:rsidP="00C23D38">
            <w:pPr>
              <w:pStyle w:val="Sinespaciado"/>
              <w:rPr>
                <w:rFonts w:ascii="Arial" w:hAnsi="Arial" w:cs="Arial"/>
                <w:szCs w:val="24"/>
              </w:rPr>
            </w:pPr>
            <w:r>
              <w:rPr>
                <w:rFonts w:ascii="Arial" w:hAnsi="Arial" w:cs="Arial"/>
                <w:szCs w:val="24"/>
              </w:rPr>
              <w:t>Universidad Cooperativa de Colombia</w:t>
            </w:r>
          </w:p>
        </w:tc>
      </w:tr>
      <w:tr w:rsidR="002F1A4B" w:rsidRPr="00C84FC7" w14:paraId="0458B3A1" w14:textId="77777777" w:rsidTr="0070603A">
        <w:trPr>
          <w:trHeight w:val="261"/>
        </w:trPr>
        <w:tc>
          <w:tcPr>
            <w:tcW w:w="4414" w:type="dxa"/>
            <w:vAlign w:val="center"/>
          </w:tcPr>
          <w:p w14:paraId="3784488F"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Programa Académico</w:t>
            </w:r>
          </w:p>
        </w:tc>
        <w:tc>
          <w:tcPr>
            <w:tcW w:w="5651" w:type="dxa"/>
            <w:vAlign w:val="center"/>
          </w:tcPr>
          <w:p w14:paraId="68E06A3E" w14:textId="77777777" w:rsidR="002F1A4B" w:rsidRPr="005D762B" w:rsidRDefault="0011337E" w:rsidP="00C23D38">
            <w:pPr>
              <w:pStyle w:val="Sinespaciado"/>
              <w:rPr>
                <w:rFonts w:ascii="Arial" w:hAnsi="Arial" w:cs="Arial"/>
                <w:szCs w:val="24"/>
              </w:rPr>
            </w:pPr>
            <w:r>
              <w:rPr>
                <w:rFonts w:ascii="Arial" w:hAnsi="Arial" w:cs="Arial"/>
                <w:szCs w:val="24"/>
              </w:rPr>
              <w:t>Contaduría pública</w:t>
            </w:r>
          </w:p>
        </w:tc>
      </w:tr>
      <w:tr w:rsidR="002F1A4B" w:rsidRPr="00C84FC7" w14:paraId="704B974E" w14:textId="77777777" w:rsidTr="0070603A">
        <w:trPr>
          <w:trHeight w:val="208"/>
        </w:trPr>
        <w:tc>
          <w:tcPr>
            <w:tcW w:w="4414" w:type="dxa"/>
            <w:vAlign w:val="center"/>
          </w:tcPr>
          <w:p w14:paraId="59EFD891"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Nombre del Semillero</w:t>
            </w:r>
          </w:p>
        </w:tc>
        <w:tc>
          <w:tcPr>
            <w:tcW w:w="5651" w:type="dxa"/>
            <w:vAlign w:val="center"/>
          </w:tcPr>
          <w:p w14:paraId="61540B8A" w14:textId="77777777" w:rsidR="002F1A4B" w:rsidRPr="005D762B" w:rsidRDefault="00D43821" w:rsidP="00C23D38">
            <w:pPr>
              <w:pStyle w:val="Sinespaciado"/>
              <w:rPr>
                <w:rFonts w:ascii="Arial" w:hAnsi="Arial" w:cs="Arial"/>
                <w:szCs w:val="24"/>
              </w:rPr>
            </w:pPr>
            <w:r>
              <w:rPr>
                <w:rFonts w:ascii="Arial" w:hAnsi="Arial" w:cs="Arial"/>
                <w:szCs w:val="24"/>
              </w:rPr>
              <w:t>EDUCAMON-Contabilidad sociedad y ambiente</w:t>
            </w:r>
          </w:p>
        </w:tc>
      </w:tr>
      <w:tr w:rsidR="002F1A4B" w:rsidRPr="00C84FC7" w14:paraId="4350B2AB" w14:textId="77777777" w:rsidTr="0070603A">
        <w:trPr>
          <w:trHeight w:val="409"/>
        </w:trPr>
        <w:tc>
          <w:tcPr>
            <w:tcW w:w="4414" w:type="dxa"/>
            <w:vAlign w:val="center"/>
          </w:tcPr>
          <w:p w14:paraId="1EF873F0"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Nombre del Grupo de Investigación (si aplica)</w:t>
            </w:r>
          </w:p>
        </w:tc>
        <w:tc>
          <w:tcPr>
            <w:tcW w:w="5651" w:type="dxa"/>
            <w:vAlign w:val="center"/>
          </w:tcPr>
          <w:p w14:paraId="3C84878B" w14:textId="77777777" w:rsidR="002F1A4B" w:rsidRPr="005D762B" w:rsidRDefault="0011337E" w:rsidP="0011337E">
            <w:pPr>
              <w:pStyle w:val="Sinespaciado"/>
              <w:rPr>
                <w:rFonts w:ascii="Arial" w:hAnsi="Arial" w:cs="Arial"/>
                <w:szCs w:val="24"/>
              </w:rPr>
            </w:pPr>
            <w:r>
              <w:rPr>
                <w:rFonts w:ascii="Arial" w:hAnsi="Arial" w:cs="Arial"/>
                <w:szCs w:val="24"/>
              </w:rPr>
              <w:t>Ciencias administrativas,</w:t>
            </w:r>
            <w:r w:rsidR="00D43821">
              <w:rPr>
                <w:rFonts w:ascii="Arial" w:hAnsi="Arial" w:cs="Arial"/>
                <w:szCs w:val="24"/>
              </w:rPr>
              <w:t xml:space="preserve"> </w:t>
            </w:r>
            <w:r>
              <w:rPr>
                <w:rFonts w:ascii="Arial" w:hAnsi="Arial" w:cs="Arial"/>
                <w:szCs w:val="24"/>
              </w:rPr>
              <w:t xml:space="preserve">contables y </w:t>
            </w:r>
            <w:r w:rsidR="00A23EC4">
              <w:rPr>
                <w:rFonts w:ascii="Arial" w:hAnsi="Arial" w:cs="Arial"/>
                <w:szCs w:val="24"/>
              </w:rPr>
              <w:t>económicas</w:t>
            </w:r>
            <w:r w:rsidR="00D43821">
              <w:rPr>
                <w:rFonts w:ascii="Arial" w:hAnsi="Arial" w:cs="Arial"/>
                <w:szCs w:val="24"/>
              </w:rPr>
              <w:t xml:space="preserve"> -CACE</w:t>
            </w:r>
          </w:p>
        </w:tc>
      </w:tr>
      <w:tr w:rsidR="002F1A4B" w:rsidRPr="00C84FC7" w14:paraId="5BE6283B" w14:textId="77777777" w:rsidTr="0070603A">
        <w:trPr>
          <w:trHeight w:val="409"/>
        </w:trPr>
        <w:tc>
          <w:tcPr>
            <w:tcW w:w="4414" w:type="dxa"/>
            <w:vAlign w:val="center"/>
          </w:tcPr>
          <w:p w14:paraId="09E3156D"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Línea de Investigación (si aplica)</w:t>
            </w:r>
          </w:p>
        </w:tc>
        <w:tc>
          <w:tcPr>
            <w:tcW w:w="5651" w:type="dxa"/>
            <w:vAlign w:val="center"/>
          </w:tcPr>
          <w:p w14:paraId="67B9BF20" w14:textId="77777777" w:rsidR="002F1A4B" w:rsidRPr="005D762B" w:rsidRDefault="0011337E" w:rsidP="00C23D38">
            <w:pPr>
              <w:pStyle w:val="Sinespaciado"/>
              <w:rPr>
                <w:rFonts w:ascii="Arial" w:hAnsi="Arial" w:cs="Arial"/>
                <w:szCs w:val="24"/>
              </w:rPr>
            </w:pPr>
            <w:r>
              <w:rPr>
                <w:rFonts w:ascii="Arial" w:hAnsi="Arial" w:cs="Arial"/>
                <w:szCs w:val="24"/>
              </w:rPr>
              <w:t>Contabilidad social y ambiente</w:t>
            </w:r>
          </w:p>
        </w:tc>
      </w:tr>
      <w:tr w:rsidR="002F1A4B" w:rsidRPr="00C84FC7" w14:paraId="5CC233E5" w14:textId="77777777" w:rsidTr="0070603A">
        <w:trPr>
          <w:trHeight w:val="409"/>
        </w:trPr>
        <w:tc>
          <w:tcPr>
            <w:tcW w:w="4414" w:type="dxa"/>
            <w:vAlign w:val="center"/>
          </w:tcPr>
          <w:p w14:paraId="27A25812"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Nombre del Tutor del Semillero</w:t>
            </w:r>
          </w:p>
        </w:tc>
        <w:tc>
          <w:tcPr>
            <w:tcW w:w="5651" w:type="dxa"/>
            <w:vAlign w:val="center"/>
          </w:tcPr>
          <w:p w14:paraId="1A196EF4" w14:textId="77777777" w:rsidR="002F1A4B" w:rsidRPr="005D762B" w:rsidRDefault="0011337E" w:rsidP="00C23D38">
            <w:pPr>
              <w:pStyle w:val="Sinespaciado"/>
              <w:rPr>
                <w:rFonts w:ascii="Arial" w:hAnsi="Arial" w:cs="Arial"/>
                <w:szCs w:val="24"/>
              </w:rPr>
            </w:pPr>
            <w:r>
              <w:rPr>
                <w:rFonts w:ascii="Arial" w:hAnsi="Arial" w:cs="Arial"/>
                <w:szCs w:val="24"/>
              </w:rPr>
              <w:t xml:space="preserve">Sandra </w:t>
            </w:r>
            <w:proofErr w:type="spellStart"/>
            <w:r>
              <w:rPr>
                <w:rFonts w:ascii="Arial" w:hAnsi="Arial" w:cs="Arial"/>
                <w:szCs w:val="24"/>
              </w:rPr>
              <w:t>Yaninna</w:t>
            </w:r>
            <w:proofErr w:type="spellEnd"/>
            <w:r>
              <w:rPr>
                <w:rFonts w:ascii="Arial" w:hAnsi="Arial" w:cs="Arial"/>
                <w:szCs w:val="24"/>
              </w:rPr>
              <w:t xml:space="preserve"> López Duque </w:t>
            </w:r>
          </w:p>
        </w:tc>
      </w:tr>
      <w:tr w:rsidR="002F1A4B" w:rsidRPr="00C84FC7" w14:paraId="7CE1FF8F" w14:textId="77777777" w:rsidTr="0070603A">
        <w:trPr>
          <w:trHeight w:val="409"/>
        </w:trPr>
        <w:tc>
          <w:tcPr>
            <w:tcW w:w="4414" w:type="dxa"/>
            <w:vAlign w:val="center"/>
          </w:tcPr>
          <w:p w14:paraId="214DCD4E"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Email Tutor</w:t>
            </w:r>
          </w:p>
        </w:tc>
        <w:tc>
          <w:tcPr>
            <w:tcW w:w="5651" w:type="dxa"/>
            <w:vAlign w:val="center"/>
          </w:tcPr>
          <w:p w14:paraId="40C9FF81" w14:textId="77777777" w:rsidR="002F1A4B" w:rsidRDefault="00CE52D1" w:rsidP="00C23D38">
            <w:pPr>
              <w:pStyle w:val="Sinespaciado"/>
              <w:rPr>
                <w:rFonts w:ascii="Arial" w:hAnsi="Arial" w:cs="Arial"/>
                <w:szCs w:val="24"/>
              </w:rPr>
            </w:pPr>
            <w:hyperlink r:id="rId8" w:history="1">
              <w:r w:rsidR="00D43821" w:rsidRPr="00AF4C80">
                <w:rPr>
                  <w:rStyle w:val="Hipervnculo"/>
                  <w:rFonts w:ascii="Arial" w:hAnsi="Arial" w:cs="Arial"/>
                  <w:szCs w:val="24"/>
                </w:rPr>
                <w:t>sandra.lopezd@campusucc.edu.co</w:t>
              </w:r>
            </w:hyperlink>
          </w:p>
          <w:p w14:paraId="205BCD5C" w14:textId="77777777" w:rsidR="00D43821" w:rsidRPr="005D762B" w:rsidRDefault="00CE52D1" w:rsidP="00C23D38">
            <w:pPr>
              <w:pStyle w:val="Sinespaciado"/>
              <w:rPr>
                <w:rFonts w:ascii="Arial" w:hAnsi="Arial" w:cs="Arial"/>
                <w:szCs w:val="24"/>
              </w:rPr>
            </w:pPr>
            <w:hyperlink r:id="rId9" w:history="1">
              <w:r w:rsidR="00D43821" w:rsidRPr="00AF4C80">
                <w:rPr>
                  <w:rStyle w:val="Hipervnculo"/>
                  <w:rFonts w:ascii="Arial" w:hAnsi="Arial" w:cs="Arial"/>
                  <w:szCs w:val="24"/>
                </w:rPr>
                <w:t>yaninnal@gmail.com</w:t>
              </w:r>
            </w:hyperlink>
          </w:p>
        </w:tc>
      </w:tr>
      <w:tr w:rsidR="002F1A4B" w:rsidRPr="00C84FC7" w14:paraId="6CBC031E" w14:textId="77777777" w:rsidTr="0070603A">
        <w:trPr>
          <w:trHeight w:val="263"/>
        </w:trPr>
        <w:tc>
          <w:tcPr>
            <w:tcW w:w="4414" w:type="dxa"/>
            <w:vAlign w:val="center"/>
          </w:tcPr>
          <w:p w14:paraId="0516198C"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Título del Proyecto</w:t>
            </w:r>
          </w:p>
        </w:tc>
        <w:tc>
          <w:tcPr>
            <w:tcW w:w="5651" w:type="dxa"/>
            <w:vAlign w:val="center"/>
          </w:tcPr>
          <w:p w14:paraId="3BDEC86E" w14:textId="77777777" w:rsidR="002F1A4B" w:rsidRPr="005D762B" w:rsidRDefault="0011337E" w:rsidP="00C23D38">
            <w:pPr>
              <w:pStyle w:val="Sinespaciado"/>
              <w:rPr>
                <w:rFonts w:ascii="Arial" w:hAnsi="Arial" w:cs="Arial"/>
                <w:szCs w:val="24"/>
              </w:rPr>
            </w:pPr>
            <w:r>
              <w:rPr>
                <w:rFonts w:ascii="Arial" w:hAnsi="Arial" w:cs="Arial"/>
                <w:szCs w:val="24"/>
              </w:rPr>
              <w:t>Formación investigativa contable en Colombia y España</w:t>
            </w:r>
          </w:p>
        </w:tc>
      </w:tr>
      <w:tr w:rsidR="002F1A4B" w:rsidRPr="00C84FC7" w14:paraId="0A4576E0" w14:textId="77777777" w:rsidTr="0070603A">
        <w:trPr>
          <w:trHeight w:val="263"/>
        </w:trPr>
        <w:tc>
          <w:tcPr>
            <w:tcW w:w="4414" w:type="dxa"/>
            <w:vAlign w:val="center"/>
          </w:tcPr>
          <w:p w14:paraId="03D089F7"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Autores del Proyecto (relacionar todos los vinculados al mismo)</w:t>
            </w:r>
          </w:p>
        </w:tc>
        <w:tc>
          <w:tcPr>
            <w:tcW w:w="5651" w:type="dxa"/>
            <w:vAlign w:val="center"/>
          </w:tcPr>
          <w:p w14:paraId="72498A24" w14:textId="77777777" w:rsidR="002F1A4B" w:rsidRPr="005D762B" w:rsidRDefault="0011337E" w:rsidP="00C23D38">
            <w:pPr>
              <w:pStyle w:val="Sinespaciado"/>
              <w:rPr>
                <w:rFonts w:ascii="Arial" w:hAnsi="Arial" w:cs="Arial"/>
                <w:szCs w:val="24"/>
              </w:rPr>
            </w:pPr>
            <w:r>
              <w:rPr>
                <w:rFonts w:ascii="Arial" w:hAnsi="Arial" w:cs="Arial"/>
                <w:szCs w:val="24"/>
              </w:rPr>
              <w:t xml:space="preserve">Sandra </w:t>
            </w:r>
            <w:proofErr w:type="spellStart"/>
            <w:r>
              <w:rPr>
                <w:rFonts w:ascii="Arial" w:hAnsi="Arial" w:cs="Arial"/>
                <w:szCs w:val="24"/>
              </w:rPr>
              <w:t>Yaninna</w:t>
            </w:r>
            <w:proofErr w:type="spellEnd"/>
            <w:r>
              <w:rPr>
                <w:rFonts w:ascii="Arial" w:hAnsi="Arial" w:cs="Arial"/>
                <w:szCs w:val="24"/>
              </w:rPr>
              <w:t xml:space="preserve"> López Duque, Lina Marcela Franco Aragón, Leidy Marcela Mera Yatacué y Angie Melissa Navarrete Valencia</w:t>
            </w:r>
          </w:p>
        </w:tc>
      </w:tr>
      <w:tr w:rsidR="002F1A4B" w:rsidRPr="00C84FC7" w14:paraId="69488399" w14:textId="77777777" w:rsidTr="0070603A">
        <w:trPr>
          <w:trHeight w:val="252"/>
        </w:trPr>
        <w:tc>
          <w:tcPr>
            <w:tcW w:w="4414" w:type="dxa"/>
            <w:vAlign w:val="center"/>
          </w:tcPr>
          <w:p w14:paraId="25EE2327"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Ponente (1)</w:t>
            </w:r>
          </w:p>
        </w:tc>
        <w:tc>
          <w:tcPr>
            <w:tcW w:w="5651" w:type="dxa"/>
            <w:vAlign w:val="center"/>
          </w:tcPr>
          <w:p w14:paraId="3BC7565A" w14:textId="77777777" w:rsidR="002F1A4B" w:rsidRPr="005D762B" w:rsidRDefault="0011337E" w:rsidP="00C23D38">
            <w:pPr>
              <w:pStyle w:val="Sinespaciado"/>
              <w:rPr>
                <w:rFonts w:ascii="Arial" w:hAnsi="Arial" w:cs="Arial"/>
                <w:szCs w:val="24"/>
              </w:rPr>
            </w:pPr>
            <w:r>
              <w:rPr>
                <w:rFonts w:ascii="Arial" w:hAnsi="Arial" w:cs="Arial"/>
                <w:szCs w:val="24"/>
              </w:rPr>
              <w:t>Lina Marcela Franco Aragón</w:t>
            </w:r>
          </w:p>
        </w:tc>
      </w:tr>
      <w:tr w:rsidR="002F1A4B" w:rsidRPr="00C84FC7" w14:paraId="082F5C74" w14:textId="77777777" w:rsidTr="0070603A">
        <w:trPr>
          <w:trHeight w:val="252"/>
        </w:trPr>
        <w:tc>
          <w:tcPr>
            <w:tcW w:w="4414" w:type="dxa"/>
            <w:vAlign w:val="center"/>
          </w:tcPr>
          <w:p w14:paraId="1DED7AAC"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Documento de Identidad</w:t>
            </w:r>
          </w:p>
        </w:tc>
        <w:tc>
          <w:tcPr>
            <w:tcW w:w="5651" w:type="dxa"/>
            <w:vAlign w:val="center"/>
          </w:tcPr>
          <w:p w14:paraId="3A87D627" w14:textId="77777777" w:rsidR="002F1A4B" w:rsidRPr="005D762B" w:rsidRDefault="001E1E31" w:rsidP="00C23D38">
            <w:pPr>
              <w:pStyle w:val="Sinespaciado"/>
              <w:rPr>
                <w:rFonts w:ascii="Arial" w:hAnsi="Arial" w:cs="Arial"/>
                <w:szCs w:val="24"/>
              </w:rPr>
            </w:pPr>
            <w:r w:rsidRPr="001E1E31">
              <w:rPr>
                <w:rFonts w:ascii="Arial" w:hAnsi="Arial" w:cs="Arial"/>
                <w:szCs w:val="24"/>
              </w:rPr>
              <w:t>1.143.844.232</w:t>
            </w:r>
          </w:p>
        </w:tc>
      </w:tr>
      <w:tr w:rsidR="002F1A4B" w:rsidRPr="00C84FC7" w14:paraId="5463FB19" w14:textId="77777777" w:rsidTr="0070603A">
        <w:trPr>
          <w:trHeight w:val="252"/>
        </w:trPr>
        <w:tc>
          <w:tcPr>
            <w:tcW w:w="4414" w:type="dxa"/>
            <w:vAlign w:val="center"/>
          </w:tcPr>
          <w:p w14:paraId="1BFA9028"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Email</w:t>
            </w:r>
          </w:p>
        </w:tc>
        <w:tc>
          <w:tcPr>
            <w:tcW w:w="5651" w:type="dxa"/>
            <w:vAlign w:val="center"/>
          </w:tcPr>
          <w:p w14:paraId="767902FA" w14:textId="77777777" w:rsidR="001E1E31" w:rsidRPr="001E1E31" w:rsidRDefault="00CE52D1" w:rsidP="001E1E31">
            <w:pPr>
              <w:pStyle w:val="Sinespaciado"/>
              <w:rPr>
                <w:rFonts w:ascii="Arial" w:hAnsi="Arial" w:cs="Arial"/>
              </w:rPr>
            </w:pPr>
            <w:hyperlink r:id="rId10" w:history="1">
              <w:r w:rsidR="001E1E31" w:rsidRPr="001E1E31">
                <w:rPr>
                  <w:rStyle w:val="Hipervnculo"/>
                  <w:rFonts w:ascii="Arial" w:hAnsi="Arial" w:cs="Arial"/>
                </w:rPr>
                <w:t>lina.francoar@campusucc.edu.co</w:t>
              </w:r>
            </w:hyperlink>
          </w:p>
          <w:p w14:paraId="1B7436B8" w14:textId="77777777" w:rsidR="002F1A4B" w:rsidRPr="001E1E31" w:rsidRDefault="00CE52D1" w:rsidP="00C23D38">
            <w:pPr>
              <w:pStyle w:val="Sinespaciado"/>
              <w:rPr>
                <w:rFonts w:ascii="Arial" w:hAnsi="Arial" w:cs="Arial"/>
              </w:rPr>
            </w:pPr>
            <w:hyperlink r:id="rId11" w:history="1">
              <w:r w:rsidR="001E1E31" w:rsidRPr="001E1E31">
                <w:rPr>
                  <w:rStyle w:val="Hipervnculo"/>
                  <w:rFonts w:ascii="Arial" w:hAnsi="Arial" w:cs="Arial"/>
                </w:rPr>
                <w:t>linamfa04@gmail.com</w:t>
              </w:r>
            </w:hyperlink>
          </w:p>
        </w:tc>
      </w:tr>
      <w:tr w:rsidR="002F1A4B" w:rsidRPr="00C84FC7" w14:paraId="78B5FED7" w14:textId="77777777" w:rsidTr="0070603A">
        <w:trPr>
          <w:trHeight w:val="252"/>
        </w:trPr>
        <w:tc>
          <w:tcPr>
            <w:tcW w:w="4414" w:type="dxa"/>
            <w:vAlign w:val="center"/>
          </w:tcPr>
          <w:p w14:paraId="1AA4C826"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Ponente (2)</w:t>
            </w:r>
          </w:p>
        </w:tc>
        <w:tc>
          <w:tcPr>
            <w:tcW w:w="5651" w:type="dxa"/>
            <w:vAlign w:val="center"/>
          </w:tcPr>
          <w:p w14:paraId="3E9F1A05" w14:textId="77777777" w:rsidR="002F1A4B" w:rsidRPr="005D762B" w:rsidRDefault="0061311D" w:rsidP="00C23D38">
            <w:pPr>
              <w:pStyle w:val="Sinespaciado"/>
              <w:rPr>
                <w:rFonts w:ascii="Arial" w:hAnsi="Arial" w:cs="Arial"/>
                <w:szCs w:val="24"/>
              </w:rPr>
            </w:pPr>
            <w:r>
              <w:rPr>
                <w:rFonts w:ascii="Arial" w:hAnsi="Arial" w:cs="Arial"/>
                <w:szCs w:val="24"/>
              </w:rPr>
              <w:t>Angie Melissa Navarrete Valencia</w:t>
            </w:r>
          </w:p>
        </w:tc>
      </w:tr>
      <w:tr w:rsidR="002F1A4B" w:rsidRPr="00C84FC7" w14:paraId="32580328" w14:textId="77777777" w:rsidTr="0070603A">
        <w:trPr>
          <w:trHeight w:val="252"/>
        </w:trPr>
        <w:tc>
          <w:tcPr>
            <w:tcW w:w="4414" w:type="dxa"/>
            <w:vAlign w:val="center"/>
          </w:tcPr>
          <w:p w14:paraId="78FE73D1"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Documento de Identidad</w:t>
            </w:r>
          </w:p>
        </w:tc>
        <w:tc>
          <w:tcPr>
            <w:tcW w:w="5651" w:type="dxa"/>
            <w:vAlign w:val="center"/>
          </w:tcPr>
          <w:p w14:paraId="54AE008D" w14:textId="77777777" w:rsidR="002F1A4B" w:rsidRPr="005D762B" w:rsidRDefault="0061311D" w:rsidP="00C23D38">
            <w:pPr>
              <w:pStyle w:val="Sinespaciado"/>
              <w:rPr>
                <w:rFonts w:ascii="Arial" w:hAnsi="Arial" w:cs="Arial"/>
                <w:szCs w:val="24"/>
              </w:rPr>
            </w:pPr>
            <w:r>
              <w:rPr>
                <w:rFonts w:ascii="Arial" w:hAnsi="Arial" w:cs="Arial"/>
                <w:szCs w:val="24"/>
              </w:rPr>
              <w:t>1.144.107.152</w:t>
            </w:r>
          </w:p>
        </w:tc>
      </w:tr>
      <w:tr w:rsidR="002F1A4B" w:rsidRPr="00C84FC7" w14:paraId="5609728E" w14:textId="77777777" w:rsidTr="0070603A">
        <w:trPr>
          <w:trHeight w:val="237"/>
        </w:trPr>
        <w:tc>
          <w:tcPr>
            <w:tcW w:w="4414" w:type="dxa"/>
            <w:vAlign w:val="center"/>
          </w:tcPr>
          <w:p w14:paraId="757DD884"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Email</w:t>
            </w:r>
          </w:p>
        </w:tc>
        <w:tc>
          <w:tcPr>
            <w:tcW w:w="5651" w:type="dxa"/>
            <w:vAlign w:val="center"/>
          </w:tcPr>
          <w:p w14:paraId="77E828A0" w14:textId="77777777" w:rsidR="002F1A4B" w:rsidRDefault="00CE52D1" w:rsidP="00C23D38">
            <w:pPr>
              <w:pStyle w:val="Sinespaciado"/>
              <w:rPr>
                <w:rFonts w:ascii="Arial" w:hAnsi="Arial" w:cs="Arial"/>
                <w:szCs w:val="24"/>
              </w:rPr>
            </w:pPr>
            <w:hyperlink r:id="rId12" w:history="1">
              <w:r w:rsidR="0061311D" w:rsidRPr="00CB17BD">
                <w:rPr>
                  <w:rStyle w:val="Hipervnculo"/>
                  <w:rFonts w:ascii="Arial" w:hAnsi="Arial" w:cs="Arial"/>
                  <w:szCs w:val="24"/>
                </w:rPr>
                <w:t>angie.navarretev@campusucc.edu.co</w:t>
              </w:r>
            </w:hyperlink>
          </w:p>
          <w:p w14:paraId="206B78E3" w14:textId="77777777" w:rsidR="0061311D" w:rsidRPr="005D762B" w:rsidRDefault="00CE52D1" w:rsidP="00C23D38">
            <w:pPr>
              <w:pStyle w:val="Sinespaciado"/>
              <w:rPr>
                <w:rFonts w:ascii="Arial" w:hAnsi="Arial" w:cs="Arial"/>
                <w:szCs w:val="24"/>
              </w:rPr>
            </w:pPr>
            <w:hyperlink r:id="rId13" w:history="1">
              <w:r w:rsidR="0061311D" w:rsidRPr="00CB17BD">
                <w:rPr>
                  <w:rStyle w:val="Hipervnculo"/>
                  <w:rFonts w:ascii="Arial" w:hAnsi="Arial" w:cs="Arial"/>
                  <w:szCs w:val="24"/>
                </w:rPr>
                <w:t>angiemelissa2627@gmail.com</w:t>
              </w:r>
            </w:hyperlink>
            <w:r w:rsidR="0061311D">
              <w:rPr>
                <w:rFonts w:ascii="Arial" w:hAnsi="Arial" w:cs="Arial"/>
                <w:szCs w:val="24"/>
              </w:rPr>
              <w:t xml:space="preserve"> </w:t>
            </w:r>
          </w:p>
        </w:tc>
      </w:tr>
      <w:tr w:rsidR="0061311D" w:rsidRPr="00C84FC7" w14:paraId="6E2BD0FC" w14:textId="77777777" w:rsidTr="0070603A">
        <w:trPr>
          <w:trHeight w:val="237"/>
        </w:trPr>
        <w:tc>
          <w:tcPr>
            <w:tcW w:w="4414" w:type="dxa"/>
            <w:vAlign w:val="center"/>
          </w:tcPr>
          <w:p w14:paraId="437CA679" w14:textId="77777777" w:rsidR="0061311D" w:rsidRPr="005D762B" w:rsidRDefault="0061311D" w:rsidP="00C23D38">
            <w:pPr>
              <w:pStyle w:val="Sinespaciado"/>
              <w:jc w:val="center"/>
              <w:rPr>
                <w:rFonts w:ascii="Arial" w:hAnsi="Arial" w:cs="Arial"/>
                <w:b/>
                <w:szCs w:val="24"/>
              </w:rPr>
            </w:pPr>
            <w:r>
              <w:rPr>
                <w:rFonts w:ascii="Arial" w:hAnsi="Arial" w:cs="Arial"/>
                <w:b/>
                <w:szCs w:val="24"/>
              </w:rPr>
              <w:t>Ponente (3)</w:t>
            </w:r>
          </w:p>
        </w:tc>
        <w:tc>
          <w:tcPr>
            <w:tcW w:w="5651" w:type="dxa"/>
            <w:vAlign w:val="center"/>
          </w:tcPr>
          <w:p w14:paraId="200B5796" w14:textId="77777777" w:rsidR="0061311D" w:rsidRDefault="0061311D" w:rsidP="00C23D38">
            <w:pPr>
              <w:pStyle w:val="Sinespaciado"/>
              <w:rPr>
                <w:rFonts w:ascii="Arial" w:hAnsi="Arial" w:cs="Arial"/>
                <w:szCs w:val="24"/>
              </w:rPr>
            </w:pPr>
            <w:r>
              <w:rPr>
                <w:rFonts w:ascii="Arial" w:hAnsi="Arial" w:cs="Arial"/>
                <w:szCs w:val="24"/>
              </w:rPr>
              <w:t>Leidy Marcela Mera Yatacué</w:t>
            </w:r>
          </w:p>
        </w:tc>
      </w:tr>
      <w:tr w:rsidR="0061311D" w:rsidRPr="00C84FC7" w14:paraId="575A4E02" w14:textId="77777777" w:rsidTr="0070603A">
        <w:trPr>
          <w:trHeight w:val="237"/>
        </w:trPr>
        <w:tc>
          <w:tcPr>
            <w:tcW w:w="4414" w:type="dxa"/>
            <w:vAlign w:val="center"/>
          </w:tcPr>
          <w:p w14:paraId="21FD35EE" w14:textId="77777777" w:rsidR="0061311D" w:rsidRPr="005D762B" w:rsidRDefault="0061311D" w:rsidP="00C23D38">
            <w:pPr>
              <w:pStyle w:val="Sinespaciado"/>
              <w:jc w:val="center"/>
              <w:rPr>
                <w:rFonts w:ascii="Arial" w:hAnsi="Arial" w:cs="Arial"/>
                <w:b/>
                <w:szCs w:val="24"/>
              </w:rPr>
            </w:pPr>
            <w:r>
              <w:rPr>
                <w:rFonts w:ascii="Arial" w:hAnsi="Arial" w:cs="Arial"/>
                <w:b/>
                <w:szCs w:val="24"/>
              </w:rPr>
              <w:t>Documento de identidad</w:t>
            </w:r>
          </w:p>
        </w:tc>
        <w:tc>
          <w:tcPr>
            <w:tcW w:w="5651" w:type="dxa"/>
            <w:vAlign w:val="center"/>
          </w:tcPr>
          <w:p w14:paraId="0A0AB1F9" w14:textId="77777777" w:rsidR="0061311D" w:rsidRDefault="00C21F7E" w:rsidP="00C23D38">
            <w:pPr>
              <w:pStyle w:val="Sinespaciado"/>
              <w:rPr>
                <w:rFonts w:ascii="Arial" w:hAnsi="Arial" w:cs="Arial"/>
                <w:szCs w:val="24"/>
              </w:rPr>
            </w:pPr>
            <w:r>
              <w:rPr>
                <w:rFonts w:ascii="Arial" w:hAnsi="Arial" w:cs="Arial"/>
                <w:szCs w:val="24"/>
              </w:rPr>
              <w:t>1.144.182.165</w:t>
            </w:r>
          </w:p>
        </w:tc>
      </w:tr>
      <w:tr w:rsidR="0061311D" w:rsidRPr="00C84FC7" w14:paraId="427FBB6E" w14:textId="77777777" w:rsidTr="0070603A">
        <w:trPr>
          <w:trHeight w:val="237"/>
        </w:trPr>
        <w:tc>
          <w:tcPr>
            <w:tcW w:w="4414" w:type="dxa"/>
            <w:vAlign w:val="center"/>
          </w:tcPr>
          <w:p w14:paraId="3E6F978A" w14:textId="77777777" w:rsidR="0061311D" w:rsidRPr="005D762B" w:rsidRDefault="0061311D" w:rsidP="00C23D38">
            <w:pPr>
              <w:pStyle w:val="Sinespaciado"/>
              <w:jc w:val="center"/>
              <w:rPr>
                <w:rFonts w:ascii="Arial" w:hAnsi="Arial" w:cs="Arial"/>
                <w:b/>
                <w:szCs w:val="24"/>
              </w:rPr>
            </w:pPr>
            <w:r>
              <w:rPr>
                <w:rFonts w:ascii="Arial" w:hAnsi="Arial" w:cs="Arial"/>
                <w:b/>
                <w:szCs w:val="24"/>
              </w:rPr>
              <w:t>Email</w:t>
            </w:r>
          </w:p>
        </w:tc>
        <w:tc>
          <w:tcPr>
            <w:tcW w:w="5651" w:type="dxa"/>
            <w:vAlign w:val="center"/>
          </w:tcPr>
          <w:p w14:paraId="5A1569CA" w14:textId="77777777" w:rsidR="00C21F7E" w:rsidRDefault="00CE52D1" w:rsidP="00C23D38">
            <w:pPr>
              <w:pStyle w:val="Sinespaciado"/>
              <w:rPr>
                <w:rFonts w:ascii="Arial" w:hAnsi="Arial" w:cs="Arial"/>
                <w:szCs w:val="24"/>
              </w:rPr>
            </w:pPr>
            <w:hyperlink r:id="rId14" w:history="1">
              <w:r w:rsidR="00C21F7E" w:rsidRPr="00CB17BD">
                <w:rPr>
                  <w:rStyle w:val="Hipervnculo"/>
                  <w:rFonts w:ascii="Arial" w:hAnsi="Arial" w:cs="Arial"/>
                  <w:szCs w:val="24"/>
                </w:rPr>
                <w:t>leydi.meray@campusucc.edu.co</w:t>
              </w:r>
            </w:hyperlink>
            <w:r w:rsidR="00C21F7E">
              <w:rPr>
                <w:rFonts w:ascii="Arial" w:hAnsi="Arial" w:cs="Arial"/>
                <w:szCs w:val="24"/>
              </w:rPr>
              <w:t xml:space="preserve"> </w:t>
            </w:r>
          </w:p>
          <w:p w14:paraId="0288505D" w14:textId="77777777" w:rsidR="00C21F7E" w:rsidRDefault="00CE52D1" w:rsidP="00C23D38">
            <w:pPr>
              <w:pStyle w:val="Sinespaciado"/>
              <w:rPr>
                <w:rFonts w:ascii="Arial" w:hAnsi="Arial" w:cs="Arial"/>
                <w:szCs w:val="24"/>
              </w:rPr>
            </w:pPr>
            <w:hyperlink r:id="rId15" w:history="1">
              <w:r w:rsidR="00C21F7E" w:rsidRPr="00CB17BD">
                <w:rPr>
                  <w:rStyle w:val="Hipervnculo"/>
                  <w:rFonts w:ascii="Arial" w:hAnsi="Arial" w:cs="Arial"/>
                  <w:szCs w:val="24"/>
                </w:rPr>
                <w:t>leidymera94@gmail.com</w:t>
              </w:r>
            </w:hyperlink>
          </w:p>
        </w:tc>
      </w:tr>
      <w:tr w:rsidR="002F1A4B" w:rsidRPr="00C84FC7" w14:paraId="35E1B24F" w14:textId="77777777" w:rsidTr="0070603A">
        <w:trPr>
          <w:trHeight w:val="252"/>
        </w:trPr>
        <w:tc>
          <w:tcPr>
            <w:tcW w:w="4414" w:type="dxa"/>
            <w:vAlign w:val="center"/>
          </w:tcPr>
          <w:p w14:paraId="394634EB"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Teléfonos de Contacto</w:t>
            </w:r>
          </w:p>
        </w:tc>
        <w:tc>
          <w:tcPr>
            <w:tcW w:w="5651" w:type="dxa"/>
            <w:vAlign w:val="center"/>
          </w:tcPr>
          <w:p w14:paraId="5568F090" w14:textId="77777777" w:rsidR="002F1A4B" w:rsidRPr="005D762B" w:rsidRDefault="0061311D" w:rsidP="00C23D38">
            <w:pPr>
              <w:pStyle w:val="Sinespaciado"/>
              <w:rPr>
                <w:rFonts w:ascii="Arial" w:hAnsi="Arial" w:cs="Arial"/>
                <w:szCs w:val="24"/>
              </w:rPr>
            </w:pPr>
            <w:r>
              <w:rPr>
                <w:rFonts w:ascii="Arial" w:hAnsi="Arial" w:cs="Arial"/>
                <w:szCs w:val="24"/>
              </w:rPr>
              <w:t xml:space="preserve">3108212313, </w:t>
            </w:r>
            <w:r w:rsidR="001E1E31" w:rsidRPr="001E1E31">
              <w:rPr>
                <w:rFonts w:ascii="Arial" w:hAnsi="Arial" w:cs="Arial"/>
                <w:szCs w:val="24"/>
                <w:lang w:val="es-ES_tradnl"/>
              </w:rPr>
              <w:t>3004222415</w:t>
            </w:r>
            <w:r w:rsidR="001E1E31">
              <w:rPr>
                <w:rFonts w:ascii="Arial" w:hAnsi="Arial" w:cs="Arial"/>
                <w:szCs w:val="24"/>
                <w:lang w:val="es-ES_tradnl"/>
              </w:rPr>
              <w:t xml:space="preserve"> y </w:t>
            </w:r>
            <w:r w:rsidR="004867F1">
              <w:rPr>
                <w:rFonts w:ascii="Arial" w:hAnsi="Arial" w:cs="Arial"/>
                <w:szCs w:val="24"/>
                <w:lang w:val="es-ES_tradnl"/>
              </w:rPr>
              <w:t>3187728799</w:t>
            </w:r>
          </w:p>
        </w:tc>
      </w:tr>
      <w:tr w:rsidR="002F1A4B" w:rsidRPr="00C84FC7" w14:paraId="4C7910E8" w14:textId="77777777" w:rsidTr="0070603A">
        <w:trPr>
          <w:trHeight w:val="252"/>
        </w:trPr>
        <w:tc>
          <w:tcPr>
            <w:tcW w:w="4414" w:type="dxa"/>
            <w:vAlign w:val="center"/>
          </w:tcPr>
          <w:p w14:paraId="2E824D0D"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Nivel de formación de los estudiantes ponentes (Semestre)</w:t>
            </w:r>
          </w:p>
        </w:tc>
        <w:tc>
          <w:tcPr>
            <w:tcW w:w="5651" w:type="dxa"/>
            <w:vAlign w:val="center"/>
          </w:tcPr>
          <w:p w14:paraId="57D2C915" w14:textId="77777777" w:rsidR="002F1A4B" w:rsidRPr="005D762B" w:rsidRDefault="0061311D" w:rsidP="00C23D38">
            <w:pPr>
              <w:pStyle w:val="Sinespaciado"/>
              <w:rPr>
                <w:rFonts w:ascii="Arial" w:hAnsi="Arial" w:cs="Arial"/>
                <w:szCs w:val="24"/>
              </w:rPr>
            </w:pPr>
            <w:r>
              <w:rPr>
                <w:rFonts w:ascii="Arial" w:hAnsi="Arial" w:cs="Arial"/>
                <w:szCs w:val="24"/>
              </w:rPr>
              <w:t xml:space="preserve">Octavo </w:t>
            </w:r>
          </w:p>
        </w:tc>
      </w:tr>
      <w:tr w:rsidR="002F1A4B" w:rsidRPr="00C84FC7" w14:paraId="1868B490" w14:textId="77777777" w:rsidTr="00706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414" w:type="dxa"/>
            <w:vMerge w:val="restart"/>
            <w:tcBorders>
              <w:left w:val="double" w:sz="4" w:space="0" w:color="auto"/>
              <w:right w:val="double" w:sz="4" w:space="0" w:color="auto"/>
            </w:tcBorders>
            <w:vAlign w:val="center"/>
          </w:tcPr>
          <w:p w14:paraId="5B8A6BCC"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MODALIDAD</w:t>
            </w:r>
          </w:p>
          <w:p w14:paraId="685650F1"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(seleccionar una-</w:t>
            </w:r>
          </w:p>
          <w:p w14:paraId="526C139A" w14:textId="77777777" w:rsidR="002F1A4B" w:rsidRPr="005D762B" w:rsidRDefault="002F1A4B" w:rsidP="00C23D38">
            <w:pPr>
              <w:pStyle w:val="Sinespaciado"/>
              <w:jc w:val="center"/>
              <w:rPr>
                <w:rFonts w:ascii="Arial" w:hAnsi="Arial" w:cs="Arial"/>
                <w:b/>
                <w:szCs w:val="24"/>
              </w:rPr>
            </w:pPr>
            <w:r w:rsidRPr="005D762B">
              <w:rPr>
                <w:rFonts w:ascii="Arial" w:hAnsi="Arial" w:cs="Arial"/>
                <w:b/>
                <w:szCs w:val="24"/>
              </w:rPr>
              <w:t>Marque con una x)</w:t>
            </w:r>
          </w:p>
        </w:tc>
        <w:tc>
          <w:tcPr>
            <w:tcW w:w="5651" w:type="dxa"/>
            <w:tcBorders>
              <w:left w:val="double" w:sz="4" w:space="0" w:color="auto"/>
              <w:bottom w:val="double" w:sz="4" w:space="0" w:color="auto"/>
              <w:right w:val="double" w:sz="4" w:space="0" w:color="auto"/>
            </w:tcBorders>
            <w:vAlign w:val="center"/>
          </w:tcPr>
          <w:p w14:paraId="1738E3EC" w14:textId="77777777" w:rsidR="002F1A4B" w:rsidRPr="005D762B" w:rsidRDefault="002F1A4B" w:rsidP="00C23D38">
            <w:pPr>
              <w:pStyle w:val="Sinespaciado"/>
              <w:rPr>
                <w:rFonts w:ascii="Arial" w:hAnsi="Arial" w:cs="Arial"/>
                <w:b/>
                <w:szCs w:val="24"/>
              </w:rPr>
            </w:pPr>
            <w:r w:rsidRPr="005D762B">
              <w:rPr>
                <w:rFonts w:ascii="Arial" w:hAnsi="Arial" w:cs="Arial"/>
                <w:b/>
                <w:szCs w:val="24"/>
              </w:rPr>
              <w:t>PONENCIA</w:t>
            </w:r>
          </w:p>
          <w:p w14:paraId="7C8C9A90" w14:textId="77777777" w:rsidR="002F1A4B" w:rsidRPr="005D762B" w:rsidRDefault="002F1A4B" w:rsidP="002F1A4B">
            <w:pPr>
              <w:pStyle w:val="Sinespaciado"/>
              <w:numPr>
                <w:ilvl w:val="0"/>
                <w:numId w:val="8"/>
              </w:numPr>
              <w:jc w:val="both"/>
              <w:rPr>
                <w:rFonts w:ascii="Arial" w:hAnsi="Arial" w:cs="Arial"/>
                <w:szCs w:val="24"/>
              </w:rPr>
            </w:pPr>
            <w:r w:rsidRPr="005D762B">
              <w:rPr>
                <w:rFonts w:ascii="Arial" w:hAnsi="Arial" w:cs="Arial"/>
                <w:szCs w:val="24"/>
              </w:rPr>
              <w:t>Investigación en Curso</w:t>
            </w:r>
            <w:r w:rsidR="000A56A4">
              <w:rPr>
                <w:rFonts w:ascii="Arial" w:hAnsi="Arial" w:cs="Arial"/>
                <w:szCs w:val="24"/>
              </w:rPr>
              <w:t xml:space="preserve"> </w:t>
            </w:r>
            <w:r w:rsidR="000A56A4" w:rsidRPr="000A56A4">
              <w:rPr>
                <w:rFonts w:ascii="Arial" w:hAnsi="Arial" w:cs="Arial"/>
                <w:b/>
                <w:szCs w:val="24"/>
              </w:rPr>
              <w:t>(</w:t>
            </w:r>
            <w:r w:rsidR="0061311D">
              <w:rPr>
                <w:rFonts w:ascii="Arial" w:hAnsi="Arial" w:cs="Arial"/>
                <w:b/>
                <w:szCs w:val="24"/>
              </w:rPr>
              <w:t>X</w:t>
            </w:r>
            <w:r w:rsidR="000A56A4" w:rsidRPr="000A56A4">
              <w:rPr>
                <w:rFonts w:ascii="Arial" w:hAnsi="Arial" w:cs="Arial"/>
                <w:b/>
                <w:szCs w:val="24"/>
              </w:rPr>
              <w:t>)</w:t>
            </w:r>
          </w:p>
          <w:p w14:paraId="3912919B" w14:textId="77777777" w:rsidR="002F1A4B" w:rsidRPr="005D762B" w:rsidRDefault="002F1A4B" w:rsidP="002F1A4B">
            <w:pPr>
              <w:pStyle w:val="Sinespaciado"/>
              <w:numPr>
                <w:ilvl w:val="0"/>
                <w:numId w:val="8"/>
              </w:numPr>
              <w:jc w:val="both"/>
              <w:rPr>
                <w:rFonts w:ascii="Arial" w:hAnsi="Arial" w:cs="Arial"/>
                <w:szCs w:val="24"/>
              </w:rPr>
            </w:pPr>
            <w:r w:rsidRPr="005D762B">
              <w:rPr>
                <w:rFonts w:ascii="Arial" w:hAnsi="Arial" w:cs="Arial"/>
                <w:szCs w:val="24"/>
              </w:rPr>
              <w:t>Investigación Terminada</w:t>
            </w:r>
            <w:r w:rsidR="000A56A4">
              <w:rPr>
                <w:rFonts w:ascii="Arial" w:hAnsi="Arial" w:cs="Arial"/>
                <w:szCs w:val="24"/>
              </w:rPr>
              <w:t xml:space="preserve"> </w:t>
            </w:r>
          </w:p>
        </w:tc>
      </w:tr>
      <w:tr w:rsidR="002F1A4B" w:rsidRPr="00C84FC7" w14:paraId="21C2F2BB" w14:textId="77777777" w:rsidTr="00706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4414" w:type="dxa"/>
            <w:vMerge/>
            <w:tcBorders>
              <w:left w:val="double" w:sz="4" w:space="0" w:color="auto"/>
              <w:right w:val="double" w:sz="4" w:space="0" w:color="auto"/>
            </w:tcBorders>
            <w:vAlign w:val="center"/>
          </w:tcPr>
          <w:p w14:paraId="03E3B635" w14:textId="77777777" w:rsidR="002F1A4B" w:rsidRPr="005D762B" w:rsidRDefault="002F1A4B" w:rsidP="00C23D38">
            <w:pPr>
              <w:pStyle w:val="Sinespaciado"/>
              <w:jc w:val="center"/>
              <w:rPr>
                <w:rFonts w:ascii="Arial" w:hAnsi="Arial" w:cs="Arial"/>
                <w:b/>
                <w:szCs w:val="24"/>
              </w:rPr>
            </w:pPr>
          </w:p>
        </w:tc>
        <w:tc>
          <w:tcPr>
            <w:tcW w:w="5651" w:type="dxa"/>
            <w:tcBorders>
              <w:left w:val="double" w:sz="4" w:space="0" w:color="auto"/>
              <w:bottom w:val="double" w:sz="4" w:space="0" w:color="auto"/>
              <w:right w:val="double" w:sz="4" w:space="0" w:color="auto"/>
            </w:tcBorders>
            <w:vAlign w:val="center"/>
          </w:tcPr>
          <w:p w14:paraId="51D1C414" w14:textId="77777777" w:rsidR="002F1A4B" w:rsidRPr="005D762B" w:rsidRDefault="002F1A4B" w:rsidP="00C23D38">
            <w:pPr>
              <w:pStyle w:val="Sinespaciado"/>
              <w:rPr>
                <w:rFonts w:ascii="Arial" w:hAnsi="Arial" w:cs="Arial"/>
                <w:b/>
                <w:szCs w:val="24"/>
              </w:rPr>
            </w:pPr>
            <w:r w:rsidRPr="005D762B">
              <w:rPr>
                <w:rFonts w:ascii="Arial" w:hAnsi="Arial" w:cs="Arial"/>
                <w:b/>
                <w:szCs w:val="24"/>
              </w:rPr>
              <w:t>PÓSTER</w:t>
            </w:r>
          </w:p>
          <w:p w14:paraId="775C0F46" w14:textId="77777777" w:rsidR="002F1A4B" w:rsidRPr="005D762B" w:rsidRDefault="002F1A4B" w:rsidP="002F1A4B">
            <w:pPr>
              <w:pStyle w:val="Sinespaciado"/>
              <w:numPr>
                <w:ilvl w:val="0"/>
                <w:numId w:val="9"/>
              </w:numPr>
              <w:jc w:val="both"/>
              <w:rPr>
                <w:rFonts w:ascii="Arial" w:hAnsi="Arial" w:cs="Arial"/>
                <w:b/>
                <w:szCs w:val="24"/>
              </w:rPr>
            </w:pPr>
            <w:r w:rsidRPr="005D762B">
              <w:rPr>
                <w:rFonts w:ascii="Arial" w:hAnsi="Arial" w:cs="Arial"/>
                <w:szCs w:val="24"/>
              </w:rPr>
              <w:t>Propuesta de Investigación</w:t>
            </w:r>
          </w:p>
        </w:tc>
      </w:tr>
      <w:tr w:rsidR="00225814" w:rsidRPr="00C84FC7" w14:paraId="4895C8B6" w14:textId="77777777" w:rsidTr="00706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4414" w:type="dxa"/>
            <w:tcBorders>
              <w:top w:val="double" w:sz="4" w:space="0" w:color="auto"/>
              <w:left w:val="double" w:sz="4" w:space="0" w:color="auto"/>
              <w:right w:val="double" w:sz="4" w:space="0" w:color="auto"/>
            </w:tcBorders>
            <w:vAlign w:val="center"/>
          </w:tcPr>
          <w:p w14:paraId="4EE6C4FA" w14:textId="77777777" w:rsidR="00225814" w:rsidRPr="005D762B" w:rsidRDefault="00225814" w:rsidP="00225814">
            <w:pPr>
              <w:pStyle w:val="Sinespaciado"/>
              <w:jc w:val="center"/>
              <w:rPr>
                <w:rFonts w:ascii="Arial" w:hAnsi="Arial" w:cs="Arial"/>
                <w:b/>
                <w:szCs w:val="24"/>
              </w:rPr>
            </w:pPr>
            <w:r w:rsidRPr="005D762B">
              <w:rPr>
                <w:rFonts w:ascii="Arial" w:hAnsi="Arial" w:cs="Arial"/>
                <w:b/>
                <w:szCs w:val="24"/>
              </w:rPr>
              <w:t>Área de la investigación</w:t>
            </w:r>
          </w:p>
          <w:p w14:paraId="061F8AE2" w14:textId="77777777" w:rsidR="00225814" w:rsidRPr="005D762B" w:rsidRDefault="00225814" w:rsidP="00225814">
            <w:pPr>
              <w:pStyle w:val="Sinespaciado"/>
              <w:jc w:val="center"/>
              <w:rPr>
                <w:rFonts w:ascii="Arial" w:hAnsi="Arial" w:cs="Arial"/>
                <w:b/>
                <w:szCs w:val="24"/>
              </w:rPr>
            </w:pPr>
            <w:r w:rsidRPr="005D762B">
              <w:rPr>
                <w:rFonts w:ascii="Arial" w:hAnsi="Arial" w:cs="Arial"/>
                <w:b/>
                <w:szCs w:val="24"/>
              </w:rPr>
              <w:t>(seleccionar una-</w:t>
            </w:r>
          </w:p>
          <w:p w14:paraId="031FAE56" w14:textId="77777777" w:rsidR="00225814" w:rsidRDefault="00225814" w:rsidP="00225814">
            <w:pPr>
              <w:pStyle w:val="Sinespaciado"/>
              <w:jc w:val="center"/>
              <w:rPr>
                <w:rFonts w:ascii="Arial" w:hAnsi="Arial" w:cs="Arial"/>
                <w:b/>
                <w:szCs w:val="24"/>
              </w:rPr>
            </w:pPr>
            <w:r w:rsidRPr="005D762B">
              <w:rPr>
                <w:rFonts w:ascii="Arial" w:hAnsi="Arial" w:cs="Arial"/>
                <w:b/>
                <w:szCs w:val="24"/>
              </w:rPr>
              <w:t>Marque con una x)</w:t>
            </w:r>
          </w:p>
          <w:p w14:paraId="716FCF7D" w14:textId="77777777" w:rsidR="00225814" w:rsidRPr="00225814" w:rsidRDefault="00225814" w:rsidP="00225814">
            <w:pPr>
              <w:rPr>
                <w:lang w:val="es-CO" w:eastAsia="en-US"/>
              </w:rPr>
            </w:pPr>
          </w:p>
          <w:p w14:paraId="6977DBBB" w14:textId="77777777" w:rsidR="00225814" w:rsidRPr="005D762B" w:rsidRDefault="00225814" w:rsidP="00225814">
            <w:pPr>
              <w:pStyle w:val="Sinespaciado"/>
              <w:jc w:val="center"/>
              <w:rPr>
                <w:rFonts w:ascii="Arial" w:hAnsi="Arial" w:cs="Arial"/>
                <w:b/>
                <w:szCs w:val="24"/>
              </w:rPr>
            </w:pPr>
          </w:p>
        </w:tc>
        <w:tc>
          <w:tcPr>
            <w:tcW w:w="5651" w:type="dxa"/>
            <w:tcBorders>
              <w:top w:val="double" w:sz="4" w:space="0" w:color="auto"/>
              <w:left w:val="double" w:sz="4" w:space="0" w:color="auto"/>
              <w:bottom w:val="double" w:sz="4" w:space="0" w:color="auto"/>
              <w:right w:val="double" w:sz="4" w:space="0" w:color="auto"/>
            </w:tcBorders>
            <w:vAlign w:val="center"/>
          </w:tcPr>
          <w:p w14:paraId="3635864D" w14:textId="77777777" w:rsidR="00225814" w:rsidRPr="006D0CE0" w:rsidRDefault="00225814" w:rsidP="0070603A">
            <w:pPr>
              <w:pStyle w:val="Sinespaciado1"/>
              <w:numPr>
                <w:ilvl w:val="0"/>
                <w:numId w:val="11"/>
              </w:numPr>
              <w:rPr>
                <w:rFonts w:ascii="Arial" w:hAnsi="Arial" w:cs="Arial"/>
                <w:sz w:val="24"/>
                <w:szCs w:val="24"/>
                <w:lang w:val="es-CO"/>
              </w:rPr>
            </w:pPr>
            <w:r w:rsidRPr="006D0CE0">
              <w:rPr>
                <w:rFonts w:ascii="Arial" w:hAnsi="Arial" w:cs="Arial"/>
                <w:sz w:val="24"/>
                <w:szCs w:val="24"/>
                <w:lang w:val="es-CO"/>
              </w:rPr>
              <w:t xml:space="preserve">Ciencias Naturales </w:t>
            </w:r>
          </w:p>
          <w:p w14:paraId="3E6E0AFE" w14:textId="77777777" w:rsidR="00225814" w:rsidRPr="006D0CE0" w:rsidRDefault="00225814" w:rsidP="0070603A">
            <w:pPr>
              <w:pStyle w:val="Sinespaciado1"/>
              <w:numPr>
                <w:ilvl w:val="0"/>
                <w:numId w:val="11"/>
              </w:numPr>
              <w:rPr>
                <w:rFonts w:ascii="Arial" w:hAnsi="Arial" w:cs="Arial"/>
                <w:sz w:val="24"/>
                <w:szCs w:val="24"/>
                <w:lang w:val="es-CO"/>
              </w:rPr>
            </w:pPr>
            <w:r w:rsidRPr="006D0CE0">
              <w:rPr>
                <w:rFonts w:ascii="Arial" w:hAnsi="Arial" w:cs="Arial"/>
                <w:sz w:val="24"/>
                <w:szCs w:val="24"/>
                <w:lang w:val="es-CO"/>
              </w:rPr>
              <w:t xml:space="preserve">Ingenierías y Tecnologías. </w:t>
            </w:r>
          </w:p>
          <w:p w14:paraId="1EA89601" w14:textId="77777777" w:rsidR="00225814" w:rsidRPr="006D0CE0" w:rsidRDefault="00225814" w:rsidP="0070603A">
            <w:pPr>
              <w:pStyle w:val="Sinespaciado1"/>
              <w:numPr>
                <w:ilvl w:val="0"/>
                <w:numId w:val="11"/>
              </w:numPr>
              <w:rPr>
                <w:rFonts w:ascii="Arial" w:hAnsi="Arial" w:cs="Arial"/>
                <w:sz w:val="24"/>
                <w:szCs w:val="24"/>
                <w:lang w:val="es-CO"/>
              </w:rPr>
            </w:pPr>
            <w:r w:rsidRPr="006D0CE0">
              <w:rPr>
                <w:rFonts w:ascii="Arial" w:hAnsi="Arial" w:cs="Arial"/>
                <w:sz w:val="24"/>
                <w:szCs w:val="24"/>
                <w:lang w:val="es-CO"/>
              </w:rPr>
              <w:t>Ciencias de la Salud y el Deporte</w:t>
            </w:r>
          </w:p>
          <w:p w14:paraId="448F7523" w14:textId="77777777" w:rsidR="00225814" w:rsidRPr="006D0CE0" w:rsidRDefault="00225814" w:rsidP="0070603A">
            <w:pPr>
              <w:pStyle w:val="Sinespaciado1"/>
              <w:numPr>
                <w:ilvl w:val="0"/>
                <w:numId w:val="11"/>
              </w:numPr>
              <w:rPr>
                <w:rFonts w:ascii="Arial" w:hAnsi="Arial" w:cs="Arial"/>
                <w:sz w:val="24"/>
                <w:szCs w:val="24"/>
                <w:lang w:val="es-CO"/>
              </w:rPr>
            </w:pPr>
            <w:r w:rsidRPr="006D0CE0">
              <w:rPr>
                <w:rFonts w:ascii="Arial" w:hAnsi="Arial" w:cs="Arial"/>
                <w:sz w:val="24"/>
                <w:szCs w:val="24"/>
                <w:lang w:val="es-CO"/>
              </w:rPr>
              <w:t xml:space="preserve">Ciencias del Medio Ambiente y el Hábitat </w:t>
            </w:r>
          </w:p>
          <w:p w14:paraId="4E8D9236" w14:textId="77777777" w:rsidR="00225814" w:rsidRPr="006D0CE0" w:rsidRDefault="00225814" w:rsidP="0061311D">
            <w:pPr>
              <w:pStyle w:val="Sinespaciado1"/>
              <w:numPr>
                <w:ilvl w:val="0"/>
                <w:numId w:val="11"/>
              </w:numPr>
              <w:rPr>
                <w:rFonts w:ascii="Arial" w:hAnsi="Arial" w:cs="Arial"/>
                <w:sz w:val="24"/>
                <w:szCs w:val="24"/>
                <w:lang w:val="es-CO"/>
              </w:rPr>
            </w:pPr>
            <w:r w:rsidRPr="006D0CE0">
              <w:rPr>
                <w:rFonts w:ascii="Arial" w:hAnsi="Arial" w:cs="Arial"/>
                <w:sz w:val="24"/>
                <w:szCs w:val="24"/>
                <w:lang w:val="es-CO"/>
              </w:rPr>
              <w:lastRenderedPageBreak/>
              <w:t xml:space="preserve">Ciencias Económicas, Administrativas y Contables </w:t>
            </w:r>
            <w:r w:rsidR="0061311D" w:rsidRPr="0061311D">
              <w:rPr>
                <w:rFonts w:ascii="Arial" w:hAnsi="Arial" w:cs="Arial"/>
                <w:b/>
                <w:sz w:val="24"/>
                <w:szCs w:val="24"/>
                <w:lang w:val="es-CO"/>
              </w:rPr>
              <w:t>(X)</w:t>
            </w:r>
          </w:p>
          <w:p w14:paraId="282EFAEF" w14:textId="77777777" w:rsidR="00225814" w:rsidRPr="006D0CE0" w:rsidRDefault="00225814" w:rsidP="0070603A">
            <w:pPr>
              <w:pStyle w:val="Sinespaciado1"/>
              <w:numPr>
                <w:ilvl w:val="0"/>
                <w:numId w:val="11"/>
              </w:numPr>
              <w:rPr>
                <w:rFonts w:ascii="Arial" w:hAnsi="Arial" w:cs="Arial"/>
                <w:sz w:val="24"/>
                <w:szCs w:val="24"/>
                <w:lang w:val="es-CO"/>
              </w:rPr>
            </w:pPr>
            <w:r w:rsidRPr="006D0CE0">
              <w:rPr>
                <w:rFonts w:ascii="Arial" w:hAnsi="Arial" w:cs="Arial"/>
                <w:sz w:val="24"/>
                <w:szCs w:val="24"/>
                <w:lang w:val="es-CO"/>
              </w:rPr>
              <w:t xml:space="preserve">Ciencias Sociales y Humanidades. </w:t>
            </w:r>
          </w:p>
          <w:p w14:paraId="2D5D6A15" w14:textId="77777777" w:rsidR="00225814" w:rsidRPr="006D0CE0" w:rsidRDefault="00225814" w:rsidP="0070603A">
            <w:pPr>
              <w:pStyle w:val="Sinespaciado1"/>
              <w:numPr>
                <w:ilvl w:val="0"/>
                <w:numId w:val="11"/>
              </w:numPr>
              <w:rPr>
                <w:rFonts w:ascii="Arial" w:hAnsi="Arial" w:cs="Arial"/>
                <w:sz w:val="24"/>
                <w:szCs w:val="24"/>
                <w:lang w:val="es-CO"/>
              </w:rPr>
            </w:pPr>
            <w:r w:rsidRPr="006D0CE0">
              <w:rPr>
                <w:rFonts w:ascii="Arial" w:hAnsi="Arial" w:cs="Arial"/>
                <w:sz w:val="24"/>
                <w:szCs w:val="24"/>
                <w:lang w:val="es-CO"/>
              </w:rPr>
              <w:t>Arquitectura, diseño y publicidad</w:t>
            </w:r>
          </w:p>
          <w:p w14:paraId="73BB7780" w14:textId="77777777" w:rsidR="00225814" w:rsidRPr="006D0CE0" w:rsidRDefault="00225814" w:rsidP="0070603A">
            <w:pPr>
              <w:pStyle w:val="Sinespaciado1"/>
              <w:numPr>
                <w:ilvl w:val="0"/>
                <w:numId w:val="11"/>
              </w:numPr>
              <w:rPr>
                <w:rFonts w:ascii="Arial" w:hAnsi="Arial" w:cs="Arial"/>
                <w:sz w:val="24"/>
                <w:szCs w:val="24"/>
                <w:lang w:val="es-CO"/>
              </w:rPr>
            </w:pPr>
            <w:r w:rsidRPr="006D0CE0">
              <w:rPr>
                <w:rFonts w:ascii="Arial" w:hAnsi="Arial" w:cs="Arial"/>
                <w:sz w:val="24"/>
                <w:szCs w:val="24"/>
                <w:lang w:val="es-CO"/>
              </w:rPr>
              <w:t>Programa Ondas</w:t>
            </w:r>
          </w:p>
          <w:p w14:paraId="79E45B76" w14:textId="77777777" w:rsidR="00225814" w:rsidRPr="008A249E" w:rsidRDefault="00225814" w:rsidP="0070603A">
            <w:pPr>
              <w:pStyle w:val="Sinespaciado1"/>
              <w:numPr>
                <w:ilvl w:val="0"/>
                <w:numId w:val="11"/>
              </w:numPr>
              <w:rPr>
                <w:rFonts w:ascii="Arial" w:hAnsi="Arial" w:cs="Arial"/>
                <w:sz w:val="24"/>
                <w:szCs w:val="24"/>
                <w:lang w:val="es-CO"/>
              </w:rPr>
            </w:pPr>
            <w:r w:rsidRPr="006D0CE0">
              <w:rPr>
                <w:rFonts w:ascii="Arial" w:hAnsi="Arial" w:cs="Arial"/>
                <w:sz w:val="24"/>
                <w:szCs w:val="24"/>
                <w:lang w:val="es-CO"/>
              </w:rPr>
              <w:t>Ciencias Jurídicas, Políticas y de seguridad</w:t>
            </w:r>
          </w:p>
        </w:tc>
      </w:tr>
    </w:tbl>
    <w:p w14:paraId="3541B7EC" w14:textId="77777777" w:rsidR="0070603A" w:rsidRDefault="0070603A" w:rsidP="00F36E4A">
      <w:pPr>
        <w:pStyle w:val="Sinespaciado1"/>
        <w:jc w:val="center"/>
        <w:rPr>
          <w:rFonts w:ascii="Arial" w:hAnsi="Arial" w:cs="Arial"/>
          <w:b/>
          <w:sz w:val="24"/>
          <w:szCs w:val="24"/>
        </w:rPr>
      </w:pPr>
    </w:p>
    <w:p w14:paraId="3539AF5A" w14:textId="77777777" w:rsidR="0070603A" w:rsidRDefault="0070603A" w:rsidP="00F36E4A">
      <w:pPr>
        <w:pStyle w:val="Sinespaciado1"/>
        <w:jc w:val="center"/>
        <w:rPr>
          <w:rFonts w:ascii="Arial" w:hAnsi="Arial" w:cs="Arial"/>
          <w:b/>
          <w:sz w:val="24"/>
          <w:szCs w:val="24"/>
        </w:rPr>
      </w:pPr>
    </w:p>
    <w:p w14:paraId="0108E8A4" w14:textId="77777777" w:rsidR="00E22E4D" w:rsidRDefault="00E22E4D" w:rsidP="00F36E4A">
      <w:pPr>
        <w:pStyle w:val="Sinespaciado1"/>
        <w:jc w:val="center"/>
        <w:rPr>
          <w:rFonts w:ascii="Arial" w:hAnsi="Arial" w:cs="Arial"/>
          <w:b/>
          <w:sz w:val="24"/>
          <w:szCs w:val="24"/>
        </w:rPr>
      </w:pPr>
    </w:p>
    <w:p w14:paraId="4DD17FFE" w14:textId="77777777" w:rsidR="00E22E4D" w:rsidRDefault="00E22E4D" w:rsidP="00F36E4A">
      <w:pPr>
        <w:pStyle w:val="Sinespaciado1"/>
        <w:jc w:val="center"/>
        <w:rPr>
          <w:rFonts w:ascii="Arial" w:hAnsi="Arial" w:cs="Arial"/>
          <w:b/>
          <w:sz w:val="24"/>
          <w:szCs w:val="24"/>
        </w:rPr>
      </w:pPr>
    </w:p>
    <w:p w14:paraId="792817C0" w14:textId="77777777" w:rsidR="002F1A4B" w:rsidRDefault="00573878" w:rsidP="00F36E4A">
      <w:pPr>
        <w:pStyle w:val="Sinespaciado1"/>
        <w:jc w:val="center"/>
        <w:rPr>
          <w:rFonts w:ascii="Arial" w:hAnsi="Arial" w:cs="Arial"/>
          <w:b/>
          <w:sz w:val="24"/>
          <w:szCs w:val="24"/>
        </w:rPr>
      </w:pPr>
      <w:r>
        <w:rPr>
          <w:rFonts w:ascii="Arial" w:hAnsi="Arial" w:cs="Arial"/>
          <w:b/>
          <w:sz w:val="24"/>
          <w:szCs w:val="24"/>
        </w:rPr>
        <w:t>REQUISITOS PONENCIAS</w:t>
      </w:r>
      <w:r w:rsidR="00C7037D">
        <w:rPr>
          <w:rFonts w:ascii="Arial" w:hAnsi="Arial" w:cs="Arial"/>
          <w:b/>
          <w:sz w:val="24"/>
          <w:szCs w:val="24"/>
        </w:rPr>
        <w:t xml:space="preserve"> </w:t>
      </w:r>
      <w:r w:rsidR="006F4618">
        <w:rPr>
          <w:rFonts w:ascii="Arial" w:hAnsi="Arial" w:cs="Arial"/>
          <w:b/>
          <w:sz w:val="24"/>
          <w:szCs w:val="24"/>
        </w:rPr>
        <w:t xml:space="preserve">EN </w:t>
      </w:r>
      <w:r w:rsidR="00C7037D">
        <w:rPr>
          <w:rFonts w:ascii="Arial" w:hAnsi="Arial" w:cs="Arial"/>
          <w:b/>
          <w:sz w:val="24"/>
          <w:szCs w:val="24"/>
        </w:rPr>
        <w:t>CURSO O TERMINADA</w:t>
      </w:r>
    </w:p>
    <w:p w14:paraId="12241C4F" w14:textId="77777777" w:rsidR="00BA5F1E" w:rsidRDefault="00BA5F1E" w:rsidP="00F36E4A">
      <w:pPr>
        <w:pStyle w:val="Sinespaciado1"/>
        <w:jc w:val="center"/>
        <w:rPr>
          <w:rFonts w:ascii="Arial" w:hAnsi="Arial" w:cs="Arial"/>
          <w:b/>
          <w:sz w:val="24"/>
          <w:szCs w:val="24"/>
        </w:rPr>
      </w:pPr>
    </w:p>
    <w:p w14:paraId="0E5ECA69" w14:textId="77777777" w:rsidR="00BA5F1E" w:rsidRPr="00BA5F1E" w:rsidRDefault="00BA5F1E" w:rsidP="00BA5F1E">
      <w:pPr>
        <w:pStyle w:val="Sinespaciado1"/>
        <w:jc w:val="both"/>
        <w:rPr>
          <w:rFonts w:ascii="Arial" w:hAnsi="Arial" w:cs="Arial"/>
          <w:sz w:val="24"/>
          <w:szCs w:val="24"/>
        </w:rPr>
      </w:pPr>
      <w:r w:rsidRPr="00BA5F1E">
        <w:rPr>
          <w:rFonts w:ascii="Arial" w:hAnsi="Arial" w:cs="Arial"/>
          <w:sz w:val="24"/>
          <w:szCs w:val="24"/>
        </w:rPr>
        <w:t>Esta modalidad e</w:t>
      </w:r>
      <w:r w:rsidR="00737D6A">
        <w:rPr>
          <w:rFonts w:ascii="Arial" w:hAnsi="Arial" w:cs="Arial"/>
          <w:sz w:val="24"/>
          <w:szCs w:val="24"/>
        </w:rPr>
        <w:t>s exclusiva para ponencias en curso o terminado</w:t>
      </w:r>
      <w:r w:rsidR="00573878">
        <w:rPr>
          <w:rFonts w:ascii="Arial" w:hAnsi="Arial" w:cs="Arial"/>
          <w:sz w:val="24"/>
          <w:szCs w:val="24"/>
        </w:rPr>
        <w:t xml:space="preserve"> de los proyectos de investigación</w:t>
      </w:r>
      <w:r w:rsidRPr="00BA5F1E">
        <w:rPr>
          <w:rFonts w:ascii="Arial" w:hAnsi="Arial" w:cs="Arial"/>
          <w:sz w:val="24"/>
          <w:szCs w:val="24"/>
        </w:rPr>
        <w:t>.</w:t>
      </w:r>
      <w:r w:rsidR="00737D6A">
        <w:rPr>
          <w:rFonts w:ascii="Arial" w:hAnsi="Arial" w:cs="Arial"/>
          <w:sz w:val="24"/>
          <w:szCs w:val="24"/>
        </w:rPr>
        <w:t xml:space="preserve"> D</w:t>
      </w:r>
      <w:r w:rsidR="005F6EF4">
        <w:rPr>
          <w:rFonts w:ascii="Arial" w:hAnsi="Arial" w:cs="Arial"/>
          <w:sz w:val="24"/>
          <w:szCs w:val="24"/>
        </w:rPr>
        <w:t>ebe presentarse según modelo al final de este documento</w:t>
      </w:r>
    </w:p>
    <w:p w14:paraId="6587CB19" w14:textId="77777777" w:rsidR="00F36E4A" w:rsidRDefault="00F36E4A" w:rsidP="002D291B">
      <w:pPr>
        <w:pStyle w:val="Sinespaciado1"/>
        <w:jc w:val="both"/>
        <w:rPr>
          <w:rFonts w:ascii="Arial" w:hAnsi="Arial" w:cs="Arial"/>
          <w:b/>
          <w:sz w:val="24"/>
          <w:szCs w:val="24"/>
        </w:rPr>
      </w:pPr>
    </w:p>
    <w:p w14:paraId="25877DB0" w14:textId="77777777" w:rsidR="002D291B" w:rsidRPr="00674A59" w:rsidRDefault="002D291B" w:rsidP="002D291B">
      <w:pPr>
        <w:pStyle w:val="Default"/>
        <w:jc w:val="both"/>
        <w:rPr>
          <w:color w:val="C00000"/>
        </w:rPr>
      </w:pPr>
      <w:r w:rsidRPr="00674A59">
        <w:rPr>
          <w:b/>
          <w:bCs/>
          <w:color w:val="C00000"/>
        </w:rPr>
        <w:t>PARA SUSTENTACIÓN DE</w:t>
      </w:r>
      <w:r w:rsidR="00737D6A" w:rsidRPr="00674A59">
        <w:rPr>
          <w:b/>
          <w:bCs/>
          <w:color w:val="C00000"/>
        </w:rPr>
        <w:t xml:space="preserve"> </w:t>
      </w:r>
      <w:r w:rsidRPr="00674A59">
        <w:rPr>
          <w:b/>
          <w:bCs/>
          <w:color w:val="C00000"/>
        </w:rPr>
        <w:t>L</w:t>
      </w:r>
      <w:r w:rsidR="00737D6A" w:rsidRPr="00674A59">
        <w:rPr>
          <w:b/>
          <w:bCs/>
          <w:color w:val="C00000"/>
        </w:rPr>
        <w:t>A PONENCIA</w:t>
      </w:r>
      <w:r w:rsidRPr="00674A59">
        <w:rPr>
          <w:b/>
          <w:bCs/>
          <w:color w:val="C00000"/>
        </w:rPr>
        <w:t xml:space="preserve"> Y PRESENTACIÓN EL DÍA DEL EVENTO.</w:t>
      </w:r>
    </w:p>
    <w:p w14:paraId="59ED893A" w14:textId="77777777" w:rsidR="002D291B" w:rsidRPr="00674A59" w:rsidRDefault="002D291B" w:rsidP="00674A59">
      <w:pPr>
        <w:pStyle w:val="Default"/>
        <w:jc w:val="both"/>
      </w:pPr>
    </w:p>
    <w:p w14:paraId="08B64A12" w14:textId="77777777" w:rsidR="002D291B" w:rsidRPr="00674A59" w:rsidRDefault="002D291B" w:rsidP="00674A59">
      <w:pPr>
        <w:pStyle w:val="Default"/>
        <w:jc w:val="both"/>
      </w:pPr>
      <w:r w:rsidRPr="00674A59">
        <w:t>Tener en cuenta los siguientes elementos:</w:t>
      </w:r>
    </w:p>
    <w:p w14:paraId="54443967" w14:textId="77777777" w:rsidR="0018040E" w:rsidRPr="00674A59" w:rsidRDefault="0096364D" w:rsidP="00674A59">
      <w:pPr>
        <w:pStyle w:val="Sinespaciado1"/>
        <w:spacing w:line="276" w:lineRule="auto"/>
        <w:jc w:val="both"/>
        <w:rPr>
          <w:rFonts w:ascii="Arial" w:eastAsiaTheme="minorHAnsi" w:hAnsi="Arial" w:cs="Arial"/>
          <w:b/>
          <w:color w:val="000000"/>
          <w:sz w:val="24"/>
          <w:szCs w:val="24"/>
          <w:lang w:val="es-CO"/>
        </w:rPr>
      </w:pPr>
      <w:r w:rsidRPr="00674A59">
        <w:rPr>
          <w:b/>
        </w:rPr>
        <w:t xml:space="preserve">1. </w:t>
      </w:r>
      <w:r w:rsidRPr="00674A59">
        <w:rPr>
          <w:rFonts w:ascii="Arial" w:eastAsiaTheme="minorHAnsi" w:hAnsi="Arial" w:cs="Arial"/>
          <w:b/>
          <w:color w:val="000000"/>
          <w:sz w:val="24"/>
          <w:szCs w:val="24"/>
          <w:lang w:val="es-CO"/>
        </w:rPr>
        <w:t>Título</w:t>
      </w:r>
      <w:r w:rsidR="000A416B" w:rsidRPr="00674A59">
        <w:rPr>
          <w:rFonts w:ascii="Arial" w:eastAsiaTheme="minorHAnsi" w:hAnsi="Arial" w:cs="Arial"/>
          <w:b/>
          <w:color w:val="000000"/>
          <w:sz w:val="24"/>
          <w:szCs w:val="24"/>
          <w:lang w:val="es-CO"/>
        </w:rPr>
        <w:t>, a</w:t>
      </w:r>
      <w:r w:rsidR="0018040E" w:rsidRPr="00674A59">
        <w:rPr>
          <w:rFonts w:ascii="Arial" w:eastAsiaTheme="minorHAnsi" w:hAnsi="Arial" w:cs="Arial"/>
          <w:b/>
          <w:color w:val="000000"/>
          <w:sz w:val="24"/>
          <w:szCs w:val="24"/>
          <w:lang w:val="es-CO"/>
        </w:rPr>
        <w:t>utor</w:t>
      </w:r>
      <w:r w:rsidRPr="00674A59">
        <w:rPr>
          <w:rFonts w:ascii="Arial" w:eastAsiaTheme="minorHAnsi" w:hAnsi="Arial" w:cs="Arial"/>
          <w:b/>
          <w:color w:val="000000"/>
          <w:sz w:val="24"/>
          <w:szCs w:val="24"/>
          <w:lang w:val="es-CO"/>
        </w:rPr>
        <w:t>(es)</w:t>
      </w:r>
      <w:r w:rsidR="009218B6" w:rsidRPr="00674A59">
        <w:rPr>
          <w:rFonts w:ascii="Arial" w:eastAsiaTheme="minorHAnsi" w:hAnsi="Arial" w:cs="Arial"/>
          <w:b/>
          <w:color w:val="000000"/>
          <w:sz w:val="24"/>
          <w:szCs w:val="24"/>
          <w:lang w:val="es-CO"/>
        </w:rPr>
        <w:t>, r</w:t>
      </w:r>
      <w:r w:rsidRPr="00674A59">
        <w:rPr>
          <w:rFonts w:ascii="Arial" w:eastAsiaTheme="minorHAnsi" w:hAnsi="Arial" w:cs="Arial"/>
          <w:b/>
          <w:color w:val="000000"/>
          <w:sz w:val="24"/>
          <w:szCs w:val="24"/>
          <w:lang w:val="es-CO"/>
        </w:rPr>
        <w:t>esumen</w:t>
      </w:r>
      <w:r w:rsidR="009218B6" w:rsidRPr="00674A59">
        <w:rPr>
          <w:rFonts w:ascii="Arial" w:eastAsiaTheme="minorHAnsi" w:hAnsi="Arial" w:cs="Arial"/>
          <w:b/>
          <w:color w:val="000000"/>
          <w:sz w:val="24"/>
          <w:szCs w:val="24"/>
          <w:lang w:val="es-CO"/>
        </w:rPr>
        <w:t xml:space="preserve"> y p</w:t>
      </w:r>
      <w:r w:rsidRPr="00674A59">
        <w:rPr>
          <w:rFonts w:ascii="Arial" w:eastAsiaTheme="minorHAnsi" w:hAnsi="Arial" w:cs="Arial"/>
          <w:b/>
          <w:color w:val="000000"/>
          <w:sz w:val="24"/>
          <w:szCs w:val="24"/>
          <w:lang w:val="es-CO"/>
        </w:rPr>
        <w:t>alabras claves</w:t>
      </w:r>
    </w:p>
    <w:p w14:paraId="585B0C58" w14:textId="77777777" w:rsidR="0096364D" w:rsidRPr="00674A59" w:rsidRDefault="009218B6" w:rsidP="00674A59">
      <w:pPr>
        <w:pStyle w:val="Sinespaciado1"/>
        <w:spacing w:line="276" w:lineRule="auto"/>
        <w:jc w:val="both"/>
        <w:rPr>
          <w:rFonts w:ascii="Arial" w:eastAsiaTheme="minorHAnsi" w:hAnsi="Arial" w:cs="Arial"/>
          <w:b/>
          <w:color w:val="000000"/>
          <w:sz w:val="24"/>
          <w:szCs w:val="24"/>
          <w:lang w:val="es-CO"/>
        </w:rPr>
      </w:pPr>
      <w:r w:rsidRPr="00674A59">
        <w:rPr>
          <w:rFonts w:ascii="Arial" w:eastAsiaTheme="minorHAnsi" w:hAnsi="Arial" w:cs="Arial"/>
          <w:b/>
          <w:color w:val="000000"/>
          <w:sz w:val="24"/>
          <w:szCs w:val="24"/>
          <w:lang w:val="es-CO"/>
        </w:rPr>
        <w:t>2.</w:t>
      </w:r>
      <w:r w:rsidR="0096364D" w:rsidRPr="00674A59">
        <w:rPr>
          <w:rFonts w:ascii="Arial" w:eastAsiaTheme="minorHAnsi" w:hAnsi="Arial" w:cs="Arial"/>
          <w:b/>
          <w:color w:val="000000"/>
          <w:sz w:val="24"/>
          <w:szCs w:val="24"/>
          <w:lang w:val="es-CO"/>
        </w:rPr>
        <w:t xml:space="preserve"> Planteamiento del problema y justificación</w:t>
      </w:r>
      <w:r w:rsidRPr="00674A59">
        <w:rPr>
          <w:rFonts w:ascii="Arial" w:eastAsiaTheme="minorHAnsi" w:hAnsi="Arial" w:cs="Arial"/>
          <w:b/>
          <w:color w:val="000000"/>
          <w:sz w:val="24"/>
          <w:szCs w:val="24"/>
          <w:lang w:val="es-CO"/>
        </w:rPr>
        <w:t xml:space="preserve"> (incluye introducción)</w:t>
      </w:r>
    </w:p>
    <w:p w14:paraId="37F56356" w14:textId="77777777" w:rsidR="0096364D" w:rsidRPr="00674A59" w:rsidRDefault="007328A8" w:rsidP="00674A59">
      <w:pPr>
        <w:pStyle w:val="Sinespaciado1"/>
        <w:spacing w:line="276" w:lineRule="auto"/>
        <w:jc w:val="both"/>
        <w:rPr>
          <w:rFonts w:ascii="Arial" w:eastAsiaTheme="minorHAnsi" w:hAnsi="Arial" w:cs="Arial"/>
          <w:b/>
          <w:color w:val="000000"/>
          <w:sz w:val="24"/>
          <w:szCs w:val="24"/>
          <w:lang w:val="es-CO"/>
        </w:rPr>
      </w:pPr>
      <w:r w:rsidRPr="00674A59">
        <w:rPr>
          <w:rFonts w:ascii="Arial" w:eastAsiaTheme="minorHAnsi" w:hAnsi="Arial" w:cs="Arial"/>
          <w:b/>
          <w:color w:val="000000"/>
          <w:sz w:val="24"/>
          <w:szCs w:val="24"/>
          <w:lang w:val="es-CO"/>
        </w:rPr>
        <w:t>3</w:t>
      </w:r>
      <w:r w:rsidR="0096364D" w:rsidRPr="00674A59">
        <w:rPr>
          <w:rFonts w:ascii="Arial" w:eastAsiaTheme="minorHAnsi" w:hAnsi="Arial" w:cs="Arial"/>
          <w:b/>
          <w:color w:val="000000"/>
          <w:sz w:val="24"/>
          <w:szCs w:val="24"/>
          <w:lang w:val="es-CO"/>
        </w:rPr>
        <w:t xml:space="preserve">. Objetivo General y Específicos </w:t>
      </w:r>
    </w:p>
    <w:p w14:paraId="5BF0AC23" w14:textId="77777777" w:rsidR="0096364D" w:rsidRPr="00674A59" w:rsidRDefault="007328A8" w:rsidP="00674A59">
      <w:pPr>
        <w:pStyle w:val="Sinespaciado1"/>
        <w:spacing w:line="276" w:lineRule="auto"/>
        <w:jc w:val="both"/>
        <w:rPr>
          <w:rFonts w:ascii="Arial" w:eastAsiaTheme="minorHAnsi" w:hAnsi="Arial" w:cs="Arial"/>
          <w:b/>
          <w:color w:val="000000"/>
          <w:sz w:val="24"/>
          <w:szCs w:val="24"/>
          <w:lang w:val="es-CO"/>
        </w:rPr>
      </w:pPr>
      <w:r w:rsidRPr="00674A59">
        <w:rPr>
          <w:rFonts w:ascii="Arial" w:hAnsi="Arial" w:cs="Arial"/>
          <w:b/>
          <w:bCs/>
          <w:sz w:val="24"/>
          <w:szCs w:val="24"/>
        </w:rPr>
        <w:t>4</w:t>
      </w:r>
      <w:r w:rsidR="0096364D" w:rsidRPr="00674A59">
        <w:rPr>
          <w:rFonts w:ascii="Arial" w:hAnsi="Arial" w:cs="Arial"/>
          <w:b/>
          <w:bCs/>
          <w:sz w:val="24"/>
          <w:szCs w:val="24"/>
        </w:rPr>
        <w:t xml:space="preserve">. </w:t>
      </w:r>
      <w:r w:rsidR="0096364D" w:rsidRPr="00674A59">
        <w:rPr>
          <w:rFonts w:ascii="Arial" w:eastAsiaTheme="minorHAnsi" w:hAnsi="Arial" w:cs="Arial"/>
          <w:b/>
          <w:color w:val="000000"/>
          <w:sz w:val="24"/>
          <w:szCs w:val="24"/>
          <w:lang w:val="es-CO"/>
        </w:rPr>
        <w:t>Referente Teórico</w:t>
      </w:r>
    </w:p>
    <w:p w14:paraId="3B08A903" w14:textId="77777777" w:rsidR="0096364D" w:rsidRPr="00674A59" w:rsidRDefault="007328A8" w:rsidP="00674A59">
      <w:pPr>
        <w:pStyle w:val="Default"/>
        <w:spacing w:after="60"/>
        <w:jc w:val="both"/>
        <w:rPr>
          <w:b/>
        </w:rPr>
      </w:pPr>
      <w:r w:rsidRPr="00674A59">
        <w:rPr>
          <w:b/>
        </w:rPr>
        <w:t>5</w:t>
      </w:r>
      <w:r w:rsidR="0096364D" w:rsidRPr="00674A59">
        <w:rPr>
          <w:b/>
        </w:rPr>
        <w:t>. Metodología</w:t>
      </w:r>
    </w:p>
    <w:p w14:paraId="564899F3" w14:textId="49F81F47" w:rsidR="0096364D" w:rsidRPr="00674A59" w:rsidRDefault="007328A8" w:rsidP="00674A59">
      <w:pPr>
        <w:pStyle w:val="Default"/>
        <w:spacing w:after="60"/>
        <w:jc w:val="both"/>
      </w:pPr>
      <w:r w:rsidRPr="00674A59">
        <w:rPr>
          <w:b/>
        </w:rPr>
        <w:t>6</w:t>
      </w:r>
      <w:r w:rsidR="0096364D" w:rsidRPr="00674A59">
        <w:rPr>
          <w:b/>
        </w:rPr>
        <w:t>. Resultados</w:t>
      </w:r>
      <w:r w:rsidR="0096364D" w:rsidRPr="00674A59">
        <w:t xml:space="preserve"> (</w:t>
      </w:r>
      <w:r w:rsidR="00874002" w:rsidRPr="00674A59">
        <w:t>S</w:t>
      </w:r>
      <w:r w:rsidR="0096364D" w:rsidRPr="00674A59">
        <w:t>i corresponde a Ponencia de Investigación en curso indique resultados parciales</w:t>
      </w:r>
      <w:r w:rsidR="00874002" w:rsidRPr="00674A59">
        <w:t>;</w:t>
      </w:r>
      <w:r w:rsidR="0096364D" w:rsidRPr="00674A59">
        <w:t xml:space="preserve"> si es Ponencia de Investigación terminada indique resultados finales</w:t>
      </w:r>
      <w:r w:rsidR="00AF036E" w:rsidRPr="00674A59">
        <w:t xml:space="preserve"> y la discusión o análisis de </w:t>
      </w:r>
      <w:r w:rsidR="00376230" w:rsidRPr="00674A59">
        <w:t>estos</w:t>
      </w:r>
      <w:r w:rsidR="0096364D" w:rsidRPr="00674A59">
        <w:t>)</w:t>
      </w:r>
    </w:p>
    <w:p w14:paraId="3A46F285" w14:textId="54A3C4DD" w:rsidR="0096364D" w:rsidRPr="00674A59" w:rsidRDefault="007328A8" w:rsidP="00674A59">
      <w:pPr>
        <w:pStyle w:val="Default"/>
        <w:spacing w:after="60"/>
        <w:jc w:val="both"/>
      </w:pPr>
      <w:r w:rsidRPr="00674A59">
        <w:rPr>
          <w:b/>
        </w:rPr>
        <w:t>7</w:t>
      </w:r>
      <w:r w:rsidR="0096364D" w:rsidRPr="00674A59">
        <w:rPr>
          <w:b/>
        </w:rPr>
        <w:t>. Conclusiones</w:t>
      </w:r>
      <w:r w:rsidR="0096364D" w:rsidRPr="00674A59">
        <w:t xml:space="preserve"> (Conclusiones parciales para Ponencia de Investigación en</w:t>
      </w:r>
      <w:r w:rsidR="00874002" w:rsidRPr="00674A59">
        <w:t xml:space="preserve"> curso; </w:t>
      </w:r>
      <w:r w:rsidR="00376230" w:rsidRPr="00674A59">
        <w:t>conclusiones</w:t>
      </w:r>
      <w:r w:rsidR="0096364D" w:rsidRPr="00674A59">
        <w:t xml:space="preserve"> si es Ponen</w:t>
      </w:r>
      <w:r w:rsidR="00874002" w:rsidRPr="00674A59">
        <w:t>cia de Investigación terminada</w:t>
      </w:r>
      <w:r w:rsidR="0096364D" w:rsidRPr="00674A59">
        <w:t>)</w:t>
      </w:r>
    </w:p>
    <w:p w14:paraId="4ED299BA" w14:textId="77777777" w:rsidR="0096364D" w:rsidRPr="00674A59" w:rsidRDefault="007328A8" w:rsidP="00674A59">
      <w:pPr>
        <w:pStyle w:val="Default"/>
        <w:spacing w:after="60"/>
        <w:jc w:val="both"/>
        <w:rPr>
          <w:b/>
        </w:rPr>
      </w:pPr>
      <w:r w:rsidRPr="00674A59">
        <w:rPr>
          <w:b/>
        </w:rPr>
        <w:t>8</w:t>
      </w:r>
      <w:r w:rsidR="0096364D" w:rsidRPr="00674A59">
        <w:rPr>
          <w:b/>
        </w:rPr>
        <w:t>. Bibliografía</w:t>
      </w:r>
    </w:p>
    <w:p w14:paraId="0060645E" w14:textId="77777777" w:rsidR="00874002" w:rsidRPr="00674A59" w:rsidRDefault="00874002" w:rsidP="00674A59">
      <w:pPr>
        <w:pStyle w:val="Default"/>
        <w:spacing w:after="60"/>
        <w:jc w:val="both"/>
        <w:rPr>
          <w:lang w:val="es-ES"/>
        </w:rPr>
      </w:pPr>
    </w:p>
    <w:p w14:paraId="0CF71DED" w14:textId="77777777" w:rsidR="00F17393" w:rsidRPr="00674A59" w:rsidRDefault="00F17393" w:rsidP="00674A59">
      <w:pPr>
        <w:pStyle w:val="Default"/>
        <w:jc w:val="both"/>
      </w:pPr>
      <w:r w:rsidRPr="00674A59">
        <w:rPr>
          <w:b/>
        </w:rPr>
        <w:t>Para la sustentación:</w:t>
      </w:r>
      <w:r w:rsidRPr="00674A59">
        <w:t xml:space="preserve"> La ponencia deberá sustentarse por medio de diapositivas que puedan presentarse en </w:t>
      </w:r>
      <w:proofErr w:type="spellStart"/>
      <w:r w:rsidRPr="00674A59">
        <w:t>Power</w:t>
      </w:r>
      <w:proofErr w:type="spellEnd"/>
      <w:r w:rsidRPr="00674A59">
        <w:t xml:space="preserve"> Point, </w:t>
      </w:r>
      <w:proofErr w:type="spellStart"/>
      <w:r w:rsidRPr="00674A59">
        <w:t>Prezi</w:t>
      </w:r>
      <w:proofErr w:type="spellEnd"/>
      <w:r w:rsidRPr="00674A59">
        <w:t xml:space="preserve">, Flash o </w:t>
      </w:r>
      <w:proofErr w:type="spellStart"/>
      <w:r w:rsidRPr="00674A59">
        <w:t>Slideshare</w:t>
      </w:r>
      <w:proofErr w:type="spellEnd"/>
      <w:r w:rsidRPr="00674A59">
        <w:t xml:space="preserve">, con tiempo asignado de quince minutos para la exposición y cinco minutos para resolver preguntas del público. Se tendrá en cuenta la creatividad </w:t>
      </w:r>
      <w:r w:rsidR="00606FEF" w:rsidRPr="00674A59">
        <w:t xml:space="preserve">en el diseño de </w:t>
      </w:r>
      <w:r w:rsidR="000A416B" w:rsidRPr="00674A59">
        <w:t>las diapositivas</w:t>
      </w:r>
      <w:r w:rsidR="00606FEF" w:rsidRPr="00674A59">
        <w:t>; el dominio temático y el manejo del auditorio</w:t>
      </w:r>
    </w:p>
    <w:p w14:paraId="7F43D447" w14:textId="77777777" w:rsidR="00FD5AAE" w:rsidRPr="00674A59" w:rsidRDefault="00FD5AAE" w:rsidP="00674A59">
      <w:pPr>
        <w:pStyle w:val="Default"/>
        <w:spacing w:after="60"/>
        <w:jc w:val="center"/>
        <w:rPr>
          <w:b/>
        </w:rPr>
      </w:pPr>
    </w:p>
    <w:p w14:paraId="6833A570" w14:textId="77777777" w:rsidR="00804021" w:rsidRPr="00674A59" w:rsidRDefault="00923257" w:rsidP="00674A59">
      <w:pPr>
        <w:spacing w:line="218" w:lineRule="auto"/>
        <w:ind w:left="1200" w:right="200" w:hanging="988"/>
        <w:rPr>
          <w:rFonts w:ascii="Calibri Light" w:eastAsia="Calibri Light" w:hAnsi="Calibri Light"/>
          <w:b/>
          <w:sz w:val="28"/>
        </w:rPr>
      </w:pPr>
      <w:r w:rsidRPr="00674A59">
        <w:rPr>
          <w:rFonts w:ascii="Calibri Light" w:eastAsia="Calibri Light" w:hAnsi="Calibri Light"/>
          <w:b/>
          <w:sz w:val="28"/>
        </w:rPr>
        <w:t xml:space="preserve"> </w:t>
      </w:r>
    </w:p>
    <w:p w14:paraId="205E9BC5" w14:textId="77777777" w:rsidR="000A0E8C" w:rsidRPr="00674A59" w:rsidRDefault="000A0E8C" w:rsidP="00674A59">
      <w:pPr>
        <w:suppressAutoHyphens w:val="0"/>
        <w:overflowPunct/>
        <w:autoSpaceDE/>
        <w:autoSpaceDN/>
        <w:adjustRightInd/>
        <w:spacing w:line="218" w:lineRule="auto"/>
        <w:ind w:left="1200" w:right="200" w:hanging="988"/>
        <w:jc w:val="center"/>
        <w:textAlignment w:val="auto"/>
        <w:rPr>
          <w:rFonts w:eastAsia="Calibri Light"/>
          <w:b/>
          <w:sz w:val="28"/>
          <w:szCs w:val="20"/>
          <w:lang w:val="es-CO" w:eastAsia="es-CO"/>
        </w:rPr>
      </w:pPr>
    </w:p>
    <w:p w14:paraId="688AA57D" w14:textId="77777777" w:rsidR="000A0E8C" w:rsidRPr="00674A59" w:rsidRDefault="000A0E8C" w:rsidP="00674A59">
      <w:pPr>
        <w:suppressAutoHyphens w:val="0"/>
        <w:overflowPunct/>
        <w:autoSpaceDE/>
        <w:autoSpaceDN/>
        <w:adjustRightInd/>
        <w:spacing w:line="218" w:lineRule="auto"/>
        <w:ind w:left="1200" w:right="200" w:hanging="988"/>
        <w:jc w:val="center"/>
        <w:textAlignment w:val="auto"/>
        <w:rPr>
          <w:rFonts w:eastAsia="Calibri Light"/>
          <w:b/>
          <w:sz w:val="28"/>
          <w:szCs w:val="20"/>
          <w:lang w:val="es-CO" w:eastAsia="es-CO"/>
        </w:rPr>
      </w:pPr>
    </w:p>
    <w:p w14:paraId="29FB8CD8" w14:textId="77777777" w:rsidR="000A0E8C" w:rsidRPr="00674A59" w:rsidRDefault="000A0E8C" w:rsidP="00674A59">
      <w:pPr>
        <w:suppressAutoHyphens w:val="0"/>
        <w:overflowPunct/>
        <w:autoSpaceDE/>
        <w:autoSpaceDN/>
        <w:adjustRightInd/>
        <w:spacing w:line="218" w:lineRule="auto"/>
        <w:ind w:left="1200" w:right="200" w:hanging="988"/>
        <w:jc w:val="center"/>
        <w:textAlignment w:val="auto"/>
        <w:rPr>
          <w:rFonts w:eastAsia="Calibri Light"/>
          <w:b/>
          <w:sz w:val="28"/>
          <w:szCs w:val="20"/>
          <w:lang w:val="es-CO" w:eastAsia="es-CO"/>
        </w:rPr>
      </w:pPr>
    </w:p>
    <w:p w14:paraId="32570B8B" w14:textId="77777777" w:rsidR="000A0E8C" w:rsidRPr="00674A59" w:rsidRDefault="000A0E8C" w:rsidP="00674A59">
      <w:pPr>
        <w:suppressAutoHyphens w:val="0"/>
        <w:overflowPunct/>
        <w:autoSpaceDE/>
        <w:autoSpaceDN/>
        <w:adjustRightInd/>
        <w:spacing w:line="218" w:lineRule="auto"/>
        <w:ind w:left="1200" w:right="200" w:hanging="988"/>
        <w:jc w:val="center"/>
        <w:textAlignment w:val="auto"/>
        <w:rPr>
          <w:rFonts w:eastAsia="Calibri Light"/>
          <w:b/>
          <w:sz w:val="28"/>
          <w:szCs w:val="20"/>
          <w:lang w:val="es-CO" w:eastAsia="es-CO"/>
        </w:rPr>
      </w:pPr>
    </w:p>
    <w:p w14:paraId="50629B80" w14:textId="77777777" w:rsidR="000A0E8C" w:rsidRPr="00674A59" w:rsidRDefault="000A0E8C" w:rsidP="00674A59">
      <w:pPr>
        <w:suppressAutoHyphens w:val="0"/>
        <w:overflowPunct/>
        <w:autoSpaceDE/>
        <w:autoSpaceDN/>
        <w:adjustRightInd/>
        <w:spacing w:line="218" w:lineRule="auto"/>
        <w:ind w:left="1200" w:right="200" w:hanging="988"/>
        <w:jc w:val="center"/>
        <w:textAlignment w:val="auto"/>
        <w:rPr>
          <w:rFonts w:eastAsia="Calibri Light"/>
          <w:b/>
          <w:sz w:val="28"/>
          <w:szCs w:val="20"/>
          <w:lang w:val="es-CO" w:eastAsia="es-CO"/>
        </w:rPr>
      </w:pPr>
    </w:p>
    <w:p w14:paraId="48FAB16B" w14:textId="59DC427B" w:rsidR="000A0E8C" w:rsidRPr="009266EB" w:rsidRDefault="000A0E8C" w:rsidP="00E67BBC">
      <w:pPr>
        <w:jc w:val="center"/>
        <w:rPr>
          <w:b/>
          <w:bCs/>
          <w:sz w:val="28"/>
          <w:szCs w:val="28"/>
        </w:rPr>
      </w:pPr>
      <w:r w:rsidRPr="009266EB">
        <w:rPr>
          <w:b/>
          <w:bCs/>
          <w:sz w:val="28"/>
          <w:szCs w:val="28"/>
        </w:rPr>
        <w:t>FORMACIÓN INVESTIGATIVA CONTABLE EN COLOMBIA Y ESPAÑA</w:t>
      </w:r>
    </w:p>
    <w:p w14:paraId="1EF0D151" w14:textId="7D084F88" w:rsidR="00674A59" w:rsidRDefault="00674A59" w:rsidP="00674A59">
      <w:pPr>
        <w:spacing w:line="276" w:lineRule="auto"/>
        <w:jc w:val="center"/>
        <w:rPr>
          <w:b/>
          <w:bCs/>
        </w:rPr>
      </w:pPr>
    </w:p>
    <w:p w14:paraId="54753E18" w14:textId="1167E581" w:rsidR="00621838" w:rsidRPr="00674A59" w:rsidRDefault="00621838" w:rsidP="00E67BBC">
      <w:pPr>
        <w:suppressAutoHyphens w:val="0"/>
        <w:overflowPunct/>
        <w:autoSpaceDE/>
        <w:autoSpaceDN/>
        <w:adjustRightInd/>
        <w:spacing w:line="218" w:lineRule="auto"/>
        <w:ind w:right="200"/>
        <w:textAlignment w:val="auto"/>
        <w:rPr>
          <w:rFonts w:eastAsia="Calibri Light"/>
          <w:b/>
          <w:shd w:val="clear" w:color="auto" w:fill="92CDDC" w:themeFill="accent5" w:themeFillTint="99"/>
        </w:rPr>
      </w:pPr>
    </w:p>
    <w:p w14:paraId="614A04DC" w14:textId="42276988" w:rsidR="00674A59" w:rsidRDefault="00621838" w:rsidP="001936E7">
      <w:pPr>
        <w:spacing w:line="0" w:lineRule="atLeast"/>
        <w:rPr>
          <w:rFonts w:eastAsiaTheme="minorHAnsi"/>
          <w:b/>
          <w:color w:val="000000"/>
          <w:sz w:val="22"/>
          <w:szCs w:val="22"/>
          <w:lang w:val="es-CO" w:eastAsia="en-US"/>
        </w:rPr>
      </w:pPr>
      <w:r w:rsidRPr="005F09CC">
        <w:rPr>
          <w:rFonts w:eastAsiaTheme="minorHAnsi"/>
          <w:b/>
          <w:color w:val="000000"/>
          <w:sz w:val="22"/>
          <w:szCs w:val="22"/>
          <w:lang w:val="es-CO" w:eastAsia="en-US"/>
        </w:rPr>
        <w:t>Autor</w:t>
      </w:r>
      <w:r w:rsidR="00674A59" w:rsidRPr="005F09CC">
        <w:rPr>
          <w:rFonts w:eastAsiaTheme="minorHAnsi"/>
          <w:b/>
          <w:color w:val="000000"/>
          <w:sz w:val="22"/>
          <w:szCs w:val="22"/>
          <w:lang w:val="es-CO" w:eastAsia="en-US"/>
        </w:rPr>
        <w:t>es</w:t>
      </w:r>
      <w:r w:rsidR="001936E7">
        <w:rPr>
          <w:rFonts w:eastAsiaTheme="minorHAnsi"/>
          <w:b/>
          <w:color w:val="000000"/>
          <w:sz w:val="22"/>
          <w:szCs w:val="22"/>
          <w:lang w:val="es-CO" w:eastAsia="en-US"/>
        </w:rPr>
        <w:t>:</w:t>
      </w:r>
    </w:p>
    <w:p w14:paraId="0411BBFC" w14:textId="37657828" w:rsidR="001936E7" w:rsidRDefault="001936E7" w:rsidP="001936E7">
      <w:pPr>
        <w:spacing w:line="0" w:lineRule="atLeast"/>
        <w:jc w:val="center"/>
        <w:rPr>
          <w:rFonts w:eastAsiaTheme="minorHAnsi"/>
          <w:b/>
          <w:color w:val="000000"/>
          <w:sz w:val="22"/>
          <w:szCs w:val="22"/>
          <w:lang w:val="es-CO" w:eastAsia="en-US"/>
        </w:rPr>
      </w:pPr>
    </w:p>
    <w:p w14:paraId="4ABF668E" w14:textId="281C5138" w:rsidR="001936E7" w:rsidRDefault="001936E7" w:rsidP="001936E7">
      <w:pPr>
        <w:spacing w:line="0" w:lineRule="atLeast"/>
        <w:rPr>
          <w:rFonts w:eastAsiaTheme="minorHAnsi"/>
          <w:b/>
          <w:color w:val="000000"/>
          <w:sz w:val="22"/>
          <w:szCs w:val="22"/>
          <w:lang w:val="es-CO" w:eastAsia="en-US"/>
        </w:rPr>
      </w:pPr>
      <w:r>
        <w:rPr>
          <w:rFonts w:eastAsiaTheme="minorHAnsi"/>
          <w:b/>
          <w:color w:val="000000"/>
          <w:sz w:val="22"/>
          <w:szCs w:val="22"/>
          <w:lang w:val="es-CO" w:eastAsia="en-US"/>
        </w:rPr>
        <w:t>Angie Melissa Navarrete Valencia</w:t>
      </w:r>
    </w:p>
    <w:p w14:paraId="4537BA78" w14:textId="2DB44D08" w:rsidR="001936E7" w:rsidRDefault="001936E7" w:rsidP="001936E7">
      <w:pPr>
        <w:spacing w:line="0" w:lineRule="atLeast"/>
        <w:rPr>
          <w:rFonts w:eastAsiaTheme="minorHAnsi"/>
          <w:b/>
          <w:color w:val="000000"/>
          <w:sz w:val="22"/>
          <w:szCs w:val="22"/>
          <w:lang w:val="es-CO" w:eastAsia="en-US"/>
        </w:rPr>
      </w:pPr>
      <w:r>
        <w:rPr>
          <w:rFonts w:eastAsiaTheme="minorHAnsi"/>
          <w:b/>
          <w:color w:val="000000"/>
          <w:sz w:val="22"/>
          <w:szCs w:val="22"/>
          <w:lang w:val="es-CO" w:eastAsia="en-US"/>
        </w:rPr>
        <w:t>Leydi Marcela Mera Yatacué</w:t>
      </w:r>
    </w:p>
    <w:p w14:paraId="2C7630EE" w14:textId="5F5B06F9" w:rsidR="001936E7" w:rsidRPr="005F09CC" w:rsidRDefault="001936E7" w:rsidP="001936E7">
      <w:pPr>
        <w:spacing w:line="0" w:lineRule="atLeast"/>
        <w:rPr>
          <w:rFonts w:eastAsiaTheme="minorHAnsi"/>
          <w:bCs/>
          <w:color w:val="000000"/>
          <w:sz w:val="22"/>
          <w:szCs w:val="22"/>
          <w:lang w:val="es-CO" w:eastAsia="en-US"/>
        </w:rPr>
      </w:pPr>
      <w:r>
        <w:rPr>
          <w:rFonts w:eastAsiaTheme="minorHAnsi"/>
          <w:b/>
          <w:color w:val="000000"/>
          <w:sz w:val="22"/>
          <w:szCs w:val="22"/>
          <w:lang w:val="es-CO" w:eastAsia="en-US"/>
        </w:rPr>
        <w:t xml:space="preserve">Lina Marcela Franco Aragón </w:t>
      </w:r>
    </w:p>
    <w:p w14:paraId="7D56476D" w14:textId="6FA9514C" w:rsidR="00674A59" w:rsidRPr="005F09CC" w:rsidRDefault="00674A59" w:rsidP="00674A59">
      <w:pPr>
        <w:spacing w:line="0" w:lineRule="atLeast"/>
        <w:ind w:left="440"/>
        <w:jc w:val="center"/>
        <w:rPr>
          <w:iCs/>
          <w:sz w:val="22"/>
          <w:szCs w:val="22"/>
        </w:rPr>
      </w:pPr>
    </w:p>
    <w:p w14:paraId="05A9CBC9" w14:textId="77777777" w:rsidR="005A091D" w:rsidRPr="00674A59" w:rsidRDefault="005A091D" w:rsidP="00674A59">
      <w:pPr>
        <w:spacing w:line="0" w:lineRule="atLeast"/>
        <w:rPr>
          <w:rFonts w:eastAsia="Calibri Light"/>
          <w:sz w:val="22"/>
          <w:szCs w:val="22"/>
        </w:rPr>
      </w:pPr>
    </w:p>
    <w:p w14:paraId="5DFB8116" w14:textId="77777777" w:rsidR="005A091D" w:rsidRPr="00674A59" w:rsidRDefault="005A091D" w:rsidP="00674A59">
      <w:pPr>
        <w:spacing w:line="0" w:lineRule="atLeast"/>
        <w:jc w:val="both"/>
        <w:rPr>
          <w:rFonts w:eastAsia="Calibri Light"/>
        </w:rPr>
      </w:pPr>
    </w:p>
    <w:p w14:paraId="79C2D0E5" w14:textId="1FF164C4" w:rsidR="005F09CC" w:rsidRDefault="005A091D" w:rsidP="005F09CC">
      <w:pPr>
        <w:widowControl w:val="0"/>
        <w:spacing w:line="480" w:lineRule="auto"/>
        <w:ind w:right="-234"/>
        <w:jc w:val="center"/>
        <w:rPr>
          <w:rFonts w:eastAsiaTheme="minorHAnsi"/>
          <w:b/>
          <w:color w:val="000000"/>
          <w:lang w:val="es-CO" w:eastAsia="en-US"/>
        </w:rPr>
      </w:pPr>
      <w:r w:rsidRPr="005F09CC">
        <w:rPr>
          <w:rFonts w:eastAsiaTheme="minorHAnsi"/>
          <w:b/>
          <w:color w:val="000000"/>
          <w:lang w:val="es-CO" w:eastAsia="en-US"/>
        </w:rPr>
        <w:t>Resumen</w:t>
      </w:r>
    </w:p>
    <w:p w14:paraId="14940322" w14:textId="2A863598" w:rsidR="000A0E8C" w:rsidRPr="005F09CC" w:rsidRDefault="000A0E8C" w:rsidP="005F09CC">
      <w:pPr>
        <w:widowControl w:val="0"/>
        <w:spacing w:line="480" w:lineRule="auto"/>
        <w:ind w:right="-234"/>
        <w:rPr>
          <w:iCs/>
        </w:rPr>
      </w:pPr>
      <w:r w:rsidRPr="005F09CC">
        <w:rPr>
          <w:iCs/>
        </w:rPr>
        <w:t>La investigación es un proceso encaminado al descubrimiento de nuevos conocimientos, en donde el estudiante genera resultados diferentes, nuevas ideas, prototipos y actitudes, ya que la educación debe estar basada en que los profesionales obtén por tener buenas competencias interpretativas y críticas para dar solución a las problemáticas que se les presente.</w:t>
      </w:r>
    </w:p>
    <w:p w14:paraId="28D6620E" w14:textId="210A72CC" w:rsidR="005F09CC" w:rsidRDefault="000A0E8C" w:rsidP="005F09CC">
      <w:pPr>
        <w:widowControl w:val="0"/>
        <w:spacing w:line="480" w:lineRule="auto"/>
        <w:ind w:right="-234"/>
        <w:rPr>
          <w:iCs/>
        </w:rPr>
      </w:pPr>
      <w:r w:rsidRPr="005F09CC">
        <w:rPr>
          <w:iCs/>
        </w:rPr>
        <w:t>Dentro de esta concepción se encuentra la investigación contable que es una herramienta útil para la formación del profesional contable, ya que retribuye las habilidades y competencias importantes para el ejercicio profesional de éste, como también puede ser concebida como una técnica y estrategia para actividades docentes que permiten al alumno recrear el conocimiento, permitiéndole la actualización futura que requerirá su ejercicio profesional.</w:t>
      </w:r>
      <w:bookmarkStart w:id="0" w:name="_Toc40973829"/>
    </w:p>
    <w:p w14:paraId="28E2B97A" w14:textId="77777777" w:rsidR="005F09CC" w:rsidRDefault="005F09CC" w:rsidP="005F09CC">
      <w:pPr>
        <w:widowControl w:val="0"/>
        <w:spacing w:line="480" w:lineRule="auto"/>
        <w:ind w:right="-234"/>
        <w:rPr>
          <w:iCs/>
        </w:rPr>
      </w:pPr>
    </w:p>
    <w:p w14:paraId="3E07F292" w14:textId="3864832D" w:rsidR="00CC7830" w:rsidRPr="005F09CC" w:rsidRDefault="00CC7830" w:rsidP="005F09CC">
      <w:pPr>
        <w:widowControl w:val="0"/>
        <w:spacing w:line="480" w:lineRule="auto"/>
        <w:ind w:right="-234"/>
        <w:jc w:val="center"/>
        <w:rPr>
          <w:iCs/>
        </w:rPr>
      </w:pPr>
      <w:r w:rsidRPr="005F09CC">
        <w:rPr>
          <w:b/>
        </w:rPr>
        <w:t>Palabras clave</w:t>
      </w:r>
      <w:bookmarkEnd w:id="0"/>
      <w:r w:rsidRPr="005F09CC">
        <w:rPr>
          <w:b/>
        </w:rPr>
        <w:t>s</w:t>
      </w:r>
    </w:p>
    <w:p w14:paraId="0E5944AC" w14:textId="11559AA8" w:rsidR="005F09CC" w:rsidRDefault="00CC7830" w:rsidP="005F09CC">
      <w:pPr>
        <w:widowControl w:val="0"/>
        <w:spacing w:line="480" w:lineRule="auto"/>
        <w:ind w:right="-234" w:firstLine="283"/>
        <w:rPr>
          <w:iCs/>
        </w:rPr>
      </w:pPr>
      <w:r w:rsidRPr="005F09CC">
        <w:rPr>
          <w:iCs/>
        </w:rPr>
        <w:t>Investigación, contaduría pública, educación superior, profesión e investigación formativa.</w:t>
      </w:r>
      <w:bookmarkStart w:id="1" w:name="_Toc40973830"/>
    </w:p>
    <w:p w14:paraId="1C1AD62E" w14:textId="77777777" w:rsidR="005F09CC" w:rsidRDefault="005F09CC" w:rsidP="005F09CC">
      <w:pPr>
        <w:widowControl w:val="0"/>
        <w:spacing w:line="480" w:lineRule="auto"/>
        <w:ind w:right="-234" w:firstLine="283"/>
        <w:rPr>
          <w:iCs/>
        </w:rPr>
      </w:pPr>
    </w:p>
    <w:p w14:paraId="11905FAB" w14:textId="7AB7CA28" w:rsidR="00CC7830" w:rsidRPr="00FD33DA" w:rsidRDefault="00CC7830" w:rsidP="00FD33DA">
      <w:pPr>
        <w:pStyle w:val="Prrafodelista"/>
        <w:widowControl w:val="0"/>
        <w:numPr>
          <w:ilvl w:val="0"/>
          <w:numId w:val="20"/>
        </w:numPr>
        <w:spacing w:line="480" w:lineRule="auto"/>
        <w:ind w:right="-234"/>
        <w:jc w:val="center"/>
        <w:rPr>
          <w:iCs/>
        </w:rPr>
      </w:pPr>
      <w:r w:rsidRPr="00FD33DA">
        <w:rPr>
          <w:b/>
        </w:rPr>
        <w:lastRenderedPageBreak/>
        <w:t>Introducción</w:t>
      </w:r>
      <w:bookmarkEnd w:id="1"/>
    </w:p>
    <w:p w14:paraId="6AB2D792" w14:textId="77777777" w:rsidR="00CC7830" w:rsidRPr="005F09CC" w:rsidRDefault="00CC7830" w:rsidP="005F09CC">
      <w:pPr>
        <w:widowControl w:val="0"/>
        <w:spacing w:line="480" w:lineRule="auto"/>
        <w:ind w:right="-234"/>
        <w:rPr>
          <w:iCs/>
        </w:rPr>
      </w:pPr>
      <w:r w:rsidRPr="005F09CC">
        <w:rPr>
          <w:iCs/>
        </w:rPr>
        <w:t>La formación investigativa representa un factor de gran importancia en la búsqueda del saber y de nuevos conocimientos y prácticas de gestión en las diferentes ramas de la profesión contable para el discernimiento más profundo de la realidad, siendo el eje de toda institución de educación superior en la promoción de saberes, pues es el instrumento por excelencia a través del cual se puede reflejar la realidad de un país, de la comunidad y de la misma institución que la promueve, también es la vía para plantear o solucionar alternativas a los problemas socioeducativos, políticos, económicos y culturales (Hernández, 2010).</w:t>
      </w:r>
    </w:p>
    <w:p w14:paraId="147E22F5" w14:textId="460FD93C" w:rsidR="005F09CC" w:rsidRDefault="00CC7830" w:rsidP="005F09CC">
      <w:pPr>
        <w:widowControl w:val="0"/>
        <w:spacing w:line="480" w:lineRule="auto"/>
        <w:ind w:right="-93"/>
        <w:rPr>
          <w:iCs/>
        </w:rPr>
      </w:pPr>
      <w:r w:rsidRPr="005F09CC">
        <w:rPr>
          <w:iCs/>
        </w:rPr>
        <w:t>Por estas razones, este documento busca identificar como es la formación investigativa en el programa de contaduría pública o contabilidad en los países de Colombia y España. Igualmente se busca evidenciar las experiencias significativas y los casos exitosos en las dos universidades (UAO y UAM) que se escogieron para realizar dicha comparación; además, aplicar encuestas a los estudiantes y docentes para observar que percepción tienen frente a la formación investigativa en la carrera de contaduría pública. Para cumplir con estos objetivos, se realizó una exhaustiva búsqueda de artículos contables, educativos, económicos en diferentes bases de datos sobre países de Colombia y España.</w:t>
      </w:r>
      <w:bookmarkStart w:id="2" w:name="_Toc40973831"/>
    </w:p>
    <w:p w14:paraId="690DB088" w14:textId="77777777" w:rsidR="005F09CC" w:rsidRDefault="005F09CC" w:rsidP="005F09CC">
      <w:pPr>
        <w:widowControl w:val="0"/>
        <w:spacing w:line="480" w:lineRule="auto"/>
        <w:ind w:right="-93"/>
        <w:rPr>
          <w:iCs/>
        </w:rPr>
      </w:pPr>
    </w:p>
    <w:p w14:paraId="5A4E0739" w14:textId="48C90C07" w:rsidR="00CC7830" w:rsidRPr="00FD33DA" w:rsidRDefault="00CC7830" w:rsidP="00FD33DA">
      <w:pPr>
        <w:pStyle w:val="Prrafodelista"/>
        <w:widowControl w:val="0"/>
        <w:numPr>
          <w:ilvl w:val="0"/>
          <w:numId w:val="20"/>
        </w:numPr>
        <w:spacing w:line="480" w:lineRule="auto"/>
        <w:ind w:right="-93"/>
        <w:jc w:val="center"/>
        <w:rPr>
          <w:iCs/>
        </w:rPr>
      </w:pPr>
      <w:r w:rsidRPr="00FD33DA">
        <w:rPr>
          <w:b/>
          <w:color w:val="000000" w:themeColor="text1"/>
        </w:rPr>
        <w:t>Planteamiento del problema</w:t>
      </w:r>
      <w:bookmarkEnd w:id="2"/>
    </w:p>
    <w:p w14:paraId="7E780067" w14:textId="77777777" w:rsidR="00CC7830" w:rsidRPr="005F09CC" w:rsidRDefault="00CC7830" w:rsidP="005F09CC">
      <w:pPr>
        <w:widowControl w:val="0"/>
        <w:spacing w:line="480" w:lineRule="auto"/>
        <w:ind w:right="-93" w:firstLine="283"/>
        <w:rPr>
          <w:iCs/>
        </w:rPr>
      </w:pPr>
      <w:r w:rsidRPr="005F09CC">
        <w:rPr>
          <w:iCs/>
        </w:rPr>
        <w:t>La contabilidad ha tenido dificultades como ciencia y como disciplina, ya que se ha visto como una técnica durante muchos años, es decir, es vista como un procedimiento y registro que tiene como objetivo principal arrojar resultados y datos. Por estas razones, la pregunta orientada al trabajo es:</w:t>
      </w:r>
    </w:p>
    <w:p w14:paraId="5CB4626E" w14:textId="77777777" w:rsidR="00CC7830" w:rsidRPr="005F09CC" w:rsidRDefault="00CC7830" w:rsidP="005F09CC">
      <w:pPr>
        <w:spacing w:line="276" w:lineRule="auto"/>
        <w:rPr>
          <w:b/>
          <w:bCs/>
        </w:rPr>
      </w:pPr>
    </w:p>
    <w:p w14:paraId="409EBA38" w14:textId="77777777" w:rsidR="005F09CC" w:rsidRDefault="00CC7830" w:rsidP="005F09CC">
      <w:pPr>
        <w:widowControl w:val="0"/>
        <w:spacing w:line="480" w:lineRule="auto"/>
        <w:ind w:right="-93" w:firstLine="283"/>
        <w:rPr>
          <w:iCs/>
        </w:rPr>
      </w:pPr>
      <w:r w:rsidRPr="005F09CC">
        <w:rPr>
          <w:iCs/>
        </w:rPr>
        <w:t xml:space="preserve">¿Cómo se ha venido desarrollando la formación investigativa en el ámbito de la contaduría pública en los países de Colombia (UAO) y España (UAM)? </w:t>
      </w:r>
      <w:bookmarkStart w:id="3" w:name="_Toc40973832"/>
    </w:p>
    <w:p w14:paraId="4CF6D578" w14:textId="77777777" w:rsidR="005F09CC" w:rsidRDefault="005F09CC" w:rsidP="005F09CC">
      <w:pPr>
        <w:widowControl w:val="0"/>
        <w:spacing w:line="480" w:lineRule="auto"/>
        <w:ind w:right="-93" w:firstLine="283"/>
        <w:rPr>
          <w:iCs/>
        </w:rPr>
      </w:pPr>
    </w:p>
    <w:p w14:paraId="3AC3E7E9" w14:textId="546626CE" w:rsidR="000441BB" w:rsidRPr="00FD33DA" w:rsidRDefault="000441BB" w:rsidP="00FD33DA">
      <w:pPr>
        <w:pStyle w:val="Prrafodelista"/>
        <w:widowControl w:val="0"/>
        <w:numPr>
          <w:ilvl w:val="0"/>
          <w:numId w:val="20"/>
        </w:numPr>
        <w:spacing w:line="480" w:lineRule="auto"/>
        <w:ind w:right="-93"/>
        <w:jc w:val="center"/>
        <w:rPr>
          <w:iCs/>
        </w:rPr>
      </w:pPr>
      <w:r w:rsidRPr="00FD33DA">
        <w:rPr>
          <w:b/>
          <w:color w:val="000000" w:themeColor="text1"/>
        </w:rPr>
        <w:t>Justificación</w:t>
      </w:r>
      <w:bookmarkEnd w:id="3"/>
    </w:p>
    <w:p w14:paraId="08A4A7C5" w14:textId="001E8D63" w:rsidR="000441BB" w:rsidRPr="005F09CC" w:rsidRDefault="000441BB" w:rsidP="005F09CC">
      <w:pPr>
        <w:widowControl w:val="0"/>
        <w:spacing w:line="480" w:lineRule="auto"/>
        <w:ind w:right="-93"/>
        <w:rPr>
          <w:iCs/>
        </w:rPr>
      </w:pPr>
      <w:r w:rsidRPr="005F09CC">
        <w:rPr>
          <w:iCs/>
        </w:rPr>
        <w:t xml:space="preserve">La presente investigación se </w:t>
      </w:r>
      <w:r w:rsidR="00376230" w:rsidRPr="005F09CC">
        <w:rPr>
          <w:iCs/>
        </w:rPr>
        <w:t>enfocará</w:t>
      </w:r>
      <w:r w:rsidRPr="005F09CC">
        <w:rPr>
          <w:iCs/>
        </w:rPr>
        <w:t xml:space="preserve"> en estudiar la formación investigativa en la educación superior, encaminada hacia el programa de contaduría pública en los países de Colombia y España, con el fin de determinar las didácticas, temas, campos, en que se desarrolla la investigación contable. Igualmente se requiere identificar como es la metodología de enseñanza por parte de los docentes para llevar a cabo proyectos relacionados a la investigación contable. Para esto nos basamos en artículos de bases de datos académicas y estadísticas, tomando como referencia los últimos veinte años.</w:t>
      </w:r>
    </w:p>
    <w:p w14:paraId="2FC4E70A" w14:textId="77777777" w:rsidR="000441BB" w:rsidRPr="005F09CC" w:rsidRDefault="000441BB" w:rsidP="005F09CC">
      <w:pPr>
        <w:widowControl w:val="0"/>
        <w:spacing w:line="480" w:lineRule="auto"/>
        <w:ind w:right="-93" w:firstLine="283"/>
        <w:rPr>
          <w:iCs/>
        </w:rPr>
      </w:pPr>
    </w:p>
    <w:p w14:paraId="0D2A3FAE" w14:textId="77777777" w:rsidR="005F09CC" w:rsidRDefault="000441BB" w:rsidP="005F09CC">
      <w:pPr>
        <w:widowControl w:val="0"/>
        <w:spacing w:line="480" w:lineRule="auto"/>
        <w:ind w:right="-93"/>
        <w:rPr>
          <w:iCs/>
        </w:rPr>
      </w:pPr>
      <w:r w:rsidRPr="005F09CC">
        <w:rPr>
          <w:iCs/>
        </w:rPr>
        <w:t xml:space="preserve">Así, el presente trabajo busca evidenciar como se encuentra la situación en cuanto a la educación investigativa contable en Colombia y España. De igual forma, como acogen los estudiantes la temática formativa, </w:t>
      </w:r>
      <w:r w:rsidR="00B87DE9" w:rsidRPr="005F09CC">
        <w:rPr>
          <w:iCs/>
        </w:rPr>
        <w:t>cuáles</w:t>
      </w:r>
      <w:r w:rsidRPr="005F09CC">
        <w:rPr>
          <w:iCs/>
        </w:rPr>
        <w:t xml:space="preserve"> son los temas de preferencia para desarrollar un trabajo de grado y las experiencias significativas de los casos exitosos del programa de contaduría pública. Lo anterior señala razones importantes para elaborar el presente trabajo.</w:t>
      </w:r>
    </w:p>
    <w:p w14:paraId="4127586C" w14:textId="77777777" w:rsidR="005F09CC" w:rsidRDefault="005F09CC" w:rsidP="005F09CC">
      <w:pPr>
        <w:widowControl w:val="0"/>
        <w:spacing w:line="480" w:lineRule="auto"/>
        <w:ind w:right="-93"/>
        <w:rPr>
          <w:iCs/>
        </w:rPr>
      </w:pPr>
    </w:p>
    <w:p w14:paraId="31D3C1E0" w14:textId="39FFFA19" w:rsidR="0095179D" w:rsidRPr="00FD33DA" w:rsidRDefault="00644F82" w:rsidP="00FD33DA">
      <w:pPr>
        <w:pStyle w:val="Prrafodelista"/>
        <w:widowControl w:val="0"/>
        <w:numPr>
          <w:ilvl w:val="0"/>
          <w:numId w:val="20"/>
        </w:numPr>
        <w:spacing w:line="480" w:lineRule="auto"/>
        <w:ind w:right="-93"/>
        <w:jc w:val="center"/>
        <w:rPr>
          <w:iCs/>
        </w:rPr>
      </w:pPr>
      <w:r w:rsidRPr="00FD33DA">
        <w:rPr>
          <w:rFonts w:eastAsiaTheme="majorEastAsia"/>
          <w:b/>
          <w:color w:val="000000" w:themeColor="text1"/>
        </w:rPr>
        <w:t>Objetivo general</w:t>
      </w:r>
    </w:p>
    <w:p w14:paraId="1783A441" w14:textId="77777777" w:rsidR="005F09CC" w:rsidRDefault="0095179D" w:rsidP="005F09CC">
      <w:pPr>
        <w:spacing w:line="276" w:lineRule="auto"/>
        <w:rPr>
          <w:iCs/>
        </w:rPr>
      </w:pPr>
      <w:r w:rsidRPr="005F09CC">
        <w:rPr>
          <w:iCs/>
        </w:rPr>
        <w:t>Formación Investigativa Contable En Colombia Y España</w:t>
      </w:r>
    </w:p>
    <w:p w14:paraId="4C4CF3EB" w14:textId="021849F2" w:rsidR="005F09CC" w:rsidRDefault="005F09CC" w:rsidP="005F09CC">
      <w:pPr>
        <w:spacing w:line="276" w:lineRule="auto"/>
        <w:rPr>
          <w:iCs/>
        </w:rPr>
      </w:pPr>
    </w:p>
    <w:p w14:paraId="78D97D5C" w14:textId="77777777" w:rsidR="005F09CC" w:rsidRDefault="005F09CC" w:rsidP="005F09CC">
      <w:pPr>
        <w:spacing w:line="276" w:lineRule="auto"/>
        <w:rPr>
          <w:iCs/>
        </w:rPr>
      </w:pPr>
    </w:p>
    <w:p w14:paraId="6FD48F6F" w14:textId="30411846" w:rsidR="000441BB" w:rsidRPr="005F09CC" w:rsidRDefault="0095179D" w:rsidP="005F09CC">
      <w:pPr>
        <w:spacing w:line="276" w:lineRule="auto"/>
        <w:jc w:val="center"/>
        <w:rPr>
          <w:iCs/>
        </w:rPr>
      </w:pPr>
      <w:r w:rsidRPr="005F09CC">
        <w:rPr>
          <w:rFonts w:eastAsiaTheme="majorEastAsia"/>
          <w:b/>
          <w:color w:val="000000" w:themeColor="text1"/>
        </w:rPr>
        <w:lastRenderedPageBreak/>
        <w:t xml:space="preserve">Objetivos </w:t>
      </w:r>
      <w:r w:rsidRPr="005F09CC">
        <w:rPr>
          <w:b/>
          <w:color w:val="000000" w:themeColor="text1"/>
        </w:rPr>
        <w:t>específicos</w:t>
      </w:r>
    </w:p>
    <w:p w14:paraId="5BB09179" w14:textId="1FC9B084" w:rsidR="0095179D" w:rsidRPr="005F09CC" w:rsidRDefault="0095179D" w:rsidP="005F09CC">
      <w:pPr>
        <w:spacing w:line="0" w:lineRule="atLeast"/>
        <w:rPr>
          <w:rFonts w:eastAsia="Calibri Light"/>
        </w:rPr>
      </w:pPr>
    </w:p>
    <w:p w14:paraId="17857E77" w14:textId="541FFD44" w:rsidR="0095179D" w:rsidRDefault="0095179D" w:rsidP="005F09CC">
      <w:pPr>
        <w:spacing w:line="480" w:lineRule="auto"/>
        <w:rPr>
          <w:iCs/>
        </w:rPr>
      </w:pPr>
      <w:r w:rsidRPr="005F09CC">
        <w:rPr>
          <w:iCs/>
        </w:rPr>
        <w:t>Investigación formativa contable en Colombia y España para descubrir cómo es la metodología que se utiliza en ambos países</w:t>
      </w:r>
      <w:r w:rsidR="005F09CC">
        <w:rPr>
          <w:iCs/>
        </w:rPr>
        <w:t>.</w:t>
      </w:r>
    </w:p>
    <w:p w14:paraId="6A43E96D" w14:textId="77777777" w:rsidR="005F09CC" w:rsidRPr="005F09CC" w:rsidRDefault="005F09CC" w:rsidP="005F09CC">
      <w:pPr>
        <w:spacing w:line="480" w:lineRule="auto"/>
        <w:rPr>
          <w:iCs/>
        </w:rPr>
      </w:pPr>
    </w:p>
    <w:p w14:paraId="5545FDF8" w14:textId="3E1BC09B" w:rsidR="0095179D" w:rsidRPr="005F09CC" w:rsidRDefault="0095179D" w:rsidP="005F09CC">
      <w:pPr>
        <w:spacing w:line="480" w:lineRule="auto"/>
        <w:rPr>
          <w:iCs/>
        </w:rPr>
      </w:pPr>
    </w:p>
    <w:p w14:paraId="07BB219F" w14:textId="77777777" w:rsidR="005F09CC" w:rsidRDefault="0095179D" w:rsidP="005F09CC">
      <w:pPr>
        <w:widowControl w:val="0"/>
        <w:spacing w:line="480" w:lineRule="auto"/>
        <w:ind w:right="-234"/>
        <w:rPr>
          <w:iCs/>
        </w:rPr>
      </w:pPr>
      <w:r w:rsidRPr="005F09CC">
        <w:rPr>
          <w:iCs/>
        </w:rPr>
        <w:t xml:space="preserve">Consulta de datos y encuestas realizadas a docentes y estudiantes mediante el ranking ART-SAPIENS, confirmando las experiencias significativas y los casos exitosos de los programas de contaduría frente a lo que se hace desde Colombia en la universidad Autónoma de Occidente y España desde la universidad Autónoma de Madrid. </w:t>
      </w:r>
    </w:p>
    <w:p w14:paraId="3BC0290E" w14:textId="77777777" w:rsidR="005F09CC" w:rsidRDefault="005F09CC" w:rsidP="005F09CC">
      <w:pPr>
        <w:widowControl w:val="0"/>
        <w:spacing w:line="480" w:lineRule="auto"/>
        <w:ind w:right="-234"/>
        <w:rPr>
          <w:iCs/>
        </w:rPr>
      </w:pPr>
    </w:p>
    <w:p w14:paraId="63EEDBB6" w14:textId="09BA293C" w:rsidR="005F09CC" w:rsidRPr="00FD33DA" w:rsidRDefault="000441BB" w:rsidP="00FD33DA">
      <w:pPr>
        <w:pStyle w:val="Prrafodelista"/>
        <w:widowControl w:val="0"/>
        <w:numPr>
          <w:ilvl w:val="0"/>
          <w:numId w:val="20"/>
        </w:numPr>
        <w:spacing w:line="480" w:lineRule="auto"/>
        <w:ind w:right="-234"/>
        <w:jc w:val="center"/>
        <w:rPr>
          <w:b/>
          <w:color w:val="000000" w:themeColor="text1"/>
        </w:rPr>
      </w:pPr>
      <w:r w:rsidRPr="00FD33DA">
        <w:rPr>
          <w:b/>
          <w:color w:val="000000" w:themeColor="text1"/>
        </w:rPr>
        <w:t>Referente Teórico</w:t>
      </w:r>
    </w:p>
    <w:p w14:paraId="5878C993" w14:textId="77777777" w:rsidR="005F09CC" w:rsidRDefault="005F09CC" w:rsidP="005F09CC">
      <w:pPr>
        <w:widowControl w:val="0"/>
        <w:spacing w:line="480" w:lineRule="auto"/>
        <w:ind w:right="-234"/>
        <w:jc w:val="center"/>
        <w:rPr>
          <w:b/>
          <w:color w:val="000000" w:themeColor="text1"/>
        </w:rPr>
      </w:pPr>
    </w:p>
    <w:p w14:paraId="0A6F0BFA" w14:textId="5D6FBEEA" w:rsidR="000441BB" w:rsidRPr="005F09CC" w:rsidRDefault="000441BB" w:rsidP="005F09CC">
      <w:pPr>
        <w:widowControl w:val="0"/>
        <w:spacing w:line="480" w:lineRule="auto"/>
        <w:ind w:right="-234"/>
        <w:rPr>
          <w:iCs/>
        </w:rPr>
      </w:pPr>
      <w:r w:rsidRPr="005F09CC">
        <w:rPr>
          <w:b/>
          <w:color w:val="000000" w:themeColor="text1"/>
        </w:rPr>
        <w:t>Investigación</w:t>
      </w:r>
    </w:p>
    <w:p w14:paraId="5151C978" w14:textId="77777777" w:rsidR="000441BB" w:rsidRPr="005F09CC" w:rsidRDefault="000441BB" w:rsidP="005F09CC">
      <w:pPr>
        <w:widowControl w:val="0"/>
        <w:spacing w:line="480" w:lineRule="auto"/>
        <w:ind w:right="-93"/>
        <w:rPr>
          <w:iCs/>
        </w:rPr>
      </w:pPr>
      <w:r w:rsidRPr="005F09CC">
        <w:rPr>
          <w:iCs/>
        </w:rPr>
        <w:t>“A menudo se acepta la idea de una investigación con cierto aire de exclusividad, un reto intelectual asumido por una élite dotada para desarrollarla; sin embargo, no se puede perder de vista que la investigación tiene una naturaleza inherente al ser humano y, por lo tanto, no debería constituirse en un atributo exclusivo para algunas personas sino un compromiso colectivo con el devenir de la humanidad” Machado y Patiño, 2016, p. 51 (Castaño, 2016).</w:t>
      </w:r>
    </w:p>
    <w:p w14:paraId="49AADB55" w14:textId="77777777" w:rsidR="000012DF" w:rsidRPr="005F09CC" w:rsidRDefault="000012DF" w:rsidP="005F09CC">
      <w:pPr>
        <w:widowControl w:val="0"/>
        <w:spacing w:line="480" w:lineRule="auto"/>
        <w:ind w:right="-93" w:firstLine="283"/>
        <w:rPr>
          <w:iCs/>
        </w:rPr>
      </w:pPr>
    </w:p>
    <w:p w14:paraId="305EB772" w14:textId="77777777" w:rsidR="005F09CC" w:rsidRDefault="000012DF" w:rsidP="005F09CC">
      <w:pPr>
        <w:widowControl w:val="0"/>
        <w:spacing w:line="480" w:lineRule="auto"/>
        <w:ind w:right="-93"/>
        <w:rPr>
          <w:iCs/>
        </w:rPr>
      </w:pPr>
      <w:r w:rsidRPr="005F09CC">
        <w:rPr>
          <w:iCs/>
        </w:rPr>
        <w:t>Tras casi dos décadas transcurridas del siglo XXI, es posible afirmar, sin temor a</w:t>
      </w:r>
      <w:r w:rsidR="005F09CC">
        <w:rPr>
          <w:iCs/>
        </w:rPr>
        <w:t xml:space="preserve"> </w:t>
      </w:r>
      <w:r w:rsidRPr="005F09CC">
        <w:rPr>
          <w:iCs/>
        </w:rPr>
        <w:t xml:space="preserve">equivocarse, que en la academia contable colombiana se abordan tantas o más problemáticas de investigación por cuantos investigadores estén sumando trabajos para la disciplina. Un </w:t>
      </w:r>
      <w:r w:rsidRPr="005F09CC">
        <w:rPr>
          <w:iCs/>
        </w:rPr>
        <w:lastRenderedPageBreak/>
        <w:t>breve repaso por revistas contables colombianas como Contaduría Universidad de Antioquia, Cuadernos de contabilidad, Lúmina, Visión Contable, Colombian Accounting Journal, Activos, revista colombiana de contabilidad (antes revista ASFACOP), revista legis de contabilidad y auditoría, Adversia y algunas otras revistas interdisciplinarias (que acogen a la contabilidad como una de las áreas del conocimiento aceptadas para su publicación) como Innovar, Cuadernos de administración, Porik An, Science of Human Action, Panorama Económico, Criterio Libre, Revista investigación y reflexión de la Universidad Militar Nueva Granada, Ciencias estratégicas, Teuken Bidikay, En-contexto, permite reconocer esta diversidad temática y problemática con trabajos desarrollados sobre la revelación de la información financiera por internet, la enseñanza de la contaduría pública, los efectos de la implementación de normas internacionales de información financiera (NIIF) en Colombia, la contabilidad de gestión y de costos aplicables en sectores o tipos de entidades particulares, discusiones sobre la forma en que se hace investigación y que dejan sobre la mesa nuevas alternativas para llevar a cabo la investigación desde corrientes heterodoxas del conocimiento, entre otros (Castaño, 2016).</w:t>
      </w:r>
    </w:p>
    <w:p w14:paraId="54B5AAA2" w14:textId="77777777" w:rsidR="005F09CC" w:rsidRDefault="005F09CC" w:rsidP="005F09CC">
      <w:pPr>
        <w:widowControl w:val="0"/>
        <w:spacing w:line="480" w:lineRule="auto"/>
        <w:ind w:right="-93"/>
        <w:rPr>
          <w:iCs/>
        </w:rPr>
      </w:pPr>
    </w:p>
    <w:p w14:paraId="225E6B97" w14:textId="3CB05B91" w:rsidR="000441BB" w:rsidRPr="005F09CC" w:rsidRDefault="000441BB" w:rsidP="005F09CC">
      <w:pPr>
        <w:widowControl w:val="0"/>
        <w:spacing w:line="480" w:lineRule="auto"/>
        <w:ind w:right="-93"/>
        <w:rPr>
          <w:iCs/>
        </w:rPr>
      </w:pPr>
      <w:r w:rsidRPr="005F09CC">
        <w:rPr>
          <w:b/>
          <w:iCs/>
        </w:rPr>
        <w:t>Formación</w:t>
      </w:r>
    </w:p>
    <w:p w14:paraId="1B5241F2" w14:textId="205FA740" w:rsidR="000441BB" w:rsidRPr="005F09CC" w:rsidRDefault="000441BB" w:rsidP="005F09CC">
      <w:pPr>
        <w:widowControl w:val="0"/>
        <w:spacing w:line="480" w:lineRule="auto"/>
        <w:ind w:right="-93"/>
        <w:rPr>
          <w:iCs/>
        </w:rPr>
      </w:pPr>
      <w:r w:rsidRPr="005F09CC">
        <w:rPr>
          <w:iCs/>
        </w:rPr>
        <w:t xml:space="preserve">Así mismo, </w:t>
      </w:r>
      <w:r w:rsidR="00644F82" w:rsidRPr="005F09CC">
        <w:rPr>
          <w:iCs/>
        </w:rPr>
        <w:t>con relación al</w:t>
      </w:r>
      <w:r w:rsidRPr="005F09CC">
        <w:rPr>
          <w:iCs/>
        </w:rPr>
        <w:t xml:space="preserve"> proceso formativo, es notable el incremento de eventos para la participación de estudiantes, con un importante auge en la primera década del siglo XXI en adelante. Este tipo de eventos solicita ponencias y trabajos escritos por los estudiantes, derivados de sus procesos de reflexión y de su participación en proyectos de investigación. Con esta modalidad aparecen diversos Congresos Nacionales de estudiantes de contaduría </w:t>
      </w:r>
      <w:r w:rsidRPr="005F09CC">
        <w:rPr>
          <w:iCs/>
        </w:rPr>
        <w:lastRenderedPageBreak/>
        <w:t xml:space="preserve">pública como los de la Pontificia Universidad Javeriana, Universidad Cooperativa de Colombia, Universidad Santo Tomás, Federación Nacional de estudiantes de contaduría pública -FENECOP-, aunque para este año aún no se había creado FENECOP, Universidad de la Salle, entre otras, así mismo, se encuentra el Encuentro Nacional e Iberoamericano de Ensayo Contable, liderado por la Universidad de Antioquia, donde se evidencian grandes esfuerzos para mejorar la calidad de la escritura de los estudiantes de contaduría pública con un fuerte énfasis en la construcción conjunta y plural de conocimiento a partir de las reflexiones que se realizan por parte de los estudiantes participantes (Castaño, 2016). </w:t>
      </w:r>
    </w:p>
    <w:p w14:paraId="71C7AF20" w14:textId="77777777" w:rsidR="005F09CC" w:rsidRDefault="005F09CC" w:rsidP="005F09CC">
      <w:pPr>
        <w:widowControl w:val="0"/>
        <w:spacing w:line="480" w:lineRule="auto"/>
        <w:ind w:right="-93"/>
        <w:rPr>
          <w:iCs/>
        </w:rPr>
      </w:pPr>
    </w:p>
    <w:p w14:paraId="6E52444A" w14:textId="585FE456" w:rsidR="000012DF" w:rsidRPr="005F09CC" w:rsidRDefault="000012DF" w:rsidP="005F09CC">
      <w:pPr>
        <w:widowControl w:val="0"/>
        <w:spacing w:line="480" w:lineRule="auto"/>
        <w:ind w:right="-93"/>
        <w:rPr>
          <w:iCs/>
        </w:rPr>
      </w:pPr>
      <w:r w:rsidRPr="005F09CC">
        <w:rPr>
          <w:iCs/>
        </w:rPr>
        <w:t>Otro aporte para la academia contable nacional ha sido el creciente número de semilleros de investigación, en el cual, aunque la participación de estudiantes todavía es limitada, sigue avanzando e integrando el conocimiento propio de la profesión, con los procesos investigativos. Bajo este panorama, es necesario seguir fortaleciendo a los actuales y futuros in</w:t>
      </w:r>
      <w:r w:rsidRPr="005F09CC">
        <w:rPr>
          <w:iCs/>
        </w:rPr>
        <w:softHyphen/>
        <w:t>vestigadores contables del país en meto</w:t>
      </w:r>
      <w:r w:rsidRPr="005F09CC">
        <w:rPr>
          <w:iCs/>
        </w:rPr>
        <w:softHyphen/>
        <w:t>dología de la investigación, pues las diver</w:t>
      </w:r>
      <w:r w:rsidRPr="005F09CC">
        <w:rPr>
          <w:iCs/>
        </w:rPr>
        <w:softHyphen/>
        <w:t>sas miradas a los mismos problemas ha</w:t>
      </w:r>
      <w:r w:rsidRPr="005F09CC">
        <w:rPr>
          <w:iCs/>
        </w:rPr>
        <w:softHyphen/>
        <w:t>cen que las alternativas de solución sean mucho más complejas y completas en aras del desarrollo general de la sociedad (Castaño, 2016).</w:t>
      </w:r>
    </w:p>
    <w:p w14:paraId="6598D597" w14:textId="77777777" w:rsidR="005F09CC" w:rsidRDefault="005F09CC" w:rsidP="005F09CC">
      <w:pPr>
        <w:widowControl w:val="0"/>
        <w:spacing w:line="480" w:lineRule="auto"/>
        <w:ind w:right="-93"/>
        <w:rPr>
          <w:iCs/>
        </w:rPr>
      </w:pPr>
    </w:p>
    <w:p w14:paraId="1ABB7720" w14:textId="14965072" w:rsidR="000012DF" w:rsidRPr="005F09CC" w:rsidRDefault="000012DF" w:rsidP="005F09CC">
      <w:pPr>
        <w:widowControl w:val="0"/>
        <w:spacing w:line="480" w:lineRule="auto"/>
        <w:ind w:right="-93"/>
        <w:rPr>
          <w:iCs/>
        </w:rPr>
      </w:pPr>
      <w:r w:rsidRPr="005F09CC">
        <w:rPr>
          <w:iCs/>
        </w:rPr>
        <w:t>En España la aprobación del primer Plan General de Contabilidad Pública en 1981 marca el inicio de una nueva etapa en la investigación en contabilidad, ya que es precisamente a partir de ese momento cuando las distintas universidades comienzan a incluir la línea de investigación en contabilidad pública dentro de sus programas de investigación (Brusca, 2010).</w:t>
      </w:r>
    </w:p>
    <w:p w14:paraId="44F8F8B3" w14:textId="77777777" w:rsidR="005F09CC" w:rsidRDefault="005F09CC" w:rsidP="005F09CC">
      <w:pPr>
        <w:widowControl w:val="0"/>
        <w:spacing w:line="480" w:lineRule="auto"/>
        <w:ind w:right="-93"/>
        <w:rPr>
          <w:iCs/>
        </w:rPr>
      </w:pPr>
    </w:p>
    <w:p w14:paraId="218C7717" w14:textId="60EF1B24" w:rsidR="005F09CC" w:rsidRDefault="000012DF" w:rsidP="005F09CC">
      <w:pPr>
        <w:widowControl w:val="0"/>
        <w:spacing w:line="480" w:lineRule="auto"/>
        <w:ind w:right="-93"/>
        <w:rPr>
          <w:iCs/>
        </w:rPr>
      </w:pPr>
      <w:r w:rsidRPr="005F09CC">
        <w:rPr>
          <w:iCs/>
        </w:rPr>
        <w:t>En los últimos años se han llevado a cabo esfuerzos de modernización y normalización de los sistemas contables públicos en la mayor parte de países de la OCDE, guiados fundamentalmente por el interés de establecer una Contabilidad Pública que sea capaz de atender a las necesidades demandadas para alcanzar una gestión e</w:t>
      </w:r>
      <w:bookmarkStart w:id="4" w:name="_Toc40973833"/>
      <w:r w:rsidR="00DC1375">
        <w:rPr>
          <w:iCs/>
        </w:rPr>
        <w:t>ficaz de los recursos públicos.</w:t>
      </w:r>
    </w:p>
    <w:p w14:paraId="298FDE58" w14:textId="77777777" w:rsidR="005F09CC" w:rsidRDefault="005F09CC" w:rsidP="005F09CC">
      <w:pPr>
        <w:widowControl w:val="0"/>
        <w:spacing w:line="480" w:lineRule="auto"/>
        <w:ind w:right="-93"/>
        <w:rPr>
          <w:iCs/>
        </w:rPr>
      </w:pPr>
    </w:p>
    <w:p w14:paraId="0DF5E0DF" w14:textId="65E0E82E" w:rsidR="000441BB" w:rsidRPr="00FD33DA" w:rsidRDefault="000441BB" w:rsidP="00FD33DA">
      <w:pPr>
        <w:pStyle w:val="Prrafodelista"/>
        <w:widowControl w:val="0"/>
        <w:numPr>
          <w:ilvl w:val="0"/>
          <w:numId w:val="20"/>
        </w:numPr>
        <w:spacing w:line="480" w:lineRule="auto"/>
        <w:ind w:right="-93"/>
        <w:jc w:val="center"/>
        <w:rPr>
          <w:iCs/>
        </w:rPr>
      </w:pPr>
      <w:r w:rsidRPr="00FD33DA">
        <w:rPr>
          <w:b/>
        </w:rPr>
        <w:t>Metodología</w:t>
      </w:r>
      <w:bookmarkEnd w:id="4"/>
    </w:p>
    <w:p w14:paraId="6E2C0550" w14:textId="79466921" w:rsidR="000441BB" w:rsidRPr="005F09CC" w:rsidRDefault="000441BB" w:rsidP="005F09CC">
      <w:pPr>
        <w:widowControl w:val="0"/>
        <w:spacing w:line="480" w:lineRule="auto"/>
        <w:ind w:right="-93"/>
        <w:rPr>
          <w:iCs/>
        </w:rPr>
      </w:pPr>
      <w:r w:rsidRPr="005F09CC">
        <w:rPr>
          <w:iCs/>
        </w:rPr>
        <w:t xml:space="preserve">En el estudio de este documento, se eligieron dos países los cuales fueron Colombia y España, con el fin de comparar en materia de investigación formativa del área contable, por </w:t>
      </w:r>
      <w:r w:rsidR="00C54F7F" w:rsidRPr="005F09CC">
        <w:rPr>
          <w:iCs/>
        </w:rPr>
        <w:t>ende,</w:t>
      </w:r>
      <w:r w:rsidRPr="005F09CC">
        <w:rPr>
          <w:iCs/>
        </w:rPr>
        <w:t xml:space="preserve"> se escogió una universidad de cada país, en Colombia fue la universidad Autónoma de Occidente y en España fue la universidad Autónoma de Madrid. En el mismo sentido, se realizó la revisión de artículos, revistas y libros relacionados al tema en la plataforma de SCOPUS. Posteriormente se indago en el ranking ART-SAPIENS para conocer las experiencias y casos exitosos de la universidad extranjera del programa de contaduría frente a lo que se hace desde Colombia en la UAO. Además, averiguar sobre las líneas de investigación que trabaja cada programa de contaduría de ambas universidades, y los temas de algunos trabajos de grado. </w:t>
      </w:r>
    </w:p>
    <w:p w14:paraId="17FFA2F3" w14:textId="77777777" w:rsidR="007A5F4D" w:rsidRDefault="007A5F4D" w:rsidP="007A5F4D">
      <w:pPr>
        <w:widowControl w:val="0"/>
        <w:spacing w:line="480" w:lineRule="auto"/>
        <w:ind w:right="-93"/>
        <w:rPr>
          <w:iCs/>
        </w:rPr>
      </w:pPr>
    </w:p>
    <w:p w14:paraId="29D4D370" w14:textId="387267A9" w:rsidR="000441BB" w:rsidRPr="005F09CC" w:rsidRDefault="000441BB" w:rsidP="007A5F4D">
      <w:pPr>
        <w:widowControl w:val="0"/>
        <w:spacing w:line="480" w:lineRule="auto"/>
        <w:ind w:right="-93"/>
        <w:rPr>
          <w:iCs/>
        </w:rPr>
      </w:pPr>
      <w:r w:rsidRPr="005F09CC">
        <w:rPr>
          <w:iCs/>
        </w:rPr>
        <w:t xml:space="preserve">El enfoque utilizado en esta investigación es cualitativo, es decir, deductivo porque es un método más integral y amplio, su propósito es observar y describir, ya que parte de lo general a lo particular. Los tipos de estudio que se emplearon fueron de carácter exploratorio </w:t>
      </w:r>
      <w:r w:rsidRPr="005F09CC">
        <w:rPr>
          <w:iCs/>
        </w:rPr>
        <w:lastRenderedPageBreak/>
        <w:t xml:space="preserve">y descriptivo, puesto que se investigó detalladamente sobre la formación investigativa en las universidades de Colombia y España. De igual forma, el trabajo es de tipo explicativo, dado que, a partir de los artículos consultados se realizó un esfuerzo para analizar e interpretar lo que los diferentes autores explicaban y al final plasmar los puntos de vista en el presente documento. </w:t>
      </w:r>
      <w:r w:rsidR="00644F82" w:rsidRPr="005F09CC">
        <w:rPr>
          <w:iCs/>
        </w:rPr>
        <w:t>Igualmente,</w:t>
      </w:r>
      <w:r w:rsidRPr="005F09CC">
        <w:rPr>
          <w:iCs/>
        </w:rPr>
        <w:t xml:space="preserve"> con los datos estadísticos y su análisis, se busca encontrar explicaciones de como los estudiantes y docentes han percibido la investigación contable en la educación superior. </w:t>
      </w:r>
    </w:p>
    <w:p w14:paraId="64C02F73" w14:textId="77777777" w:rsidR="005A091D" w:rsidRPr="005F09CC" w:rsidRDefault="005A091D" w:rsidP="005F09CC">
      <w:pPr>
        <w:spacing w:line="0" w:lineRule="atLeast"/>
        <w:rPr>
          <w:rFonts w:eastAsia="Calibri Light"/>
        </w:rPr>
      </w:pPr>
    </w:p>
    <w:p w14:paraId="34E7F554" w14:textId="41D878AF" w:rsidR="00B1723C" w:rsidRPr="00FD33DA" w:rsidRDefault="005A091D" w:rsidP="00FD33DA">
      <w:pPr>
        <w:pStyle w:val="Prrafodelista"/>
        <w:numPr>
          <w:ilvl w:val="0"/>
          <w:numId w:val="20"/>
        </w:numPr>
        <w:spacing w:line="0" w:lineRule="atLeast"/>
        <w:jc w:val="center"/>
        <w:rPr>
          <w:rFonts w:eastAsia="Calibri Light"/>
          <w:b/>
        </w:rPr>
      </w:pPr>
      <w:r w:rsidRPr="00FD33DA">
        <w:rPr>
          <w:rFonts w:eastAsia="Calibri Light"/>
          <w:b/>
        </w:rPr>
        <w:t>Resultados</w:t>
      </w:r>
      <w:r w:rsidR="00AF036E" w:rsidRPr="00FD33DA">
        <w:rPr>
          <w:rFonts w:eastAsia="Calibri Light"/>
          <w:b/>
        </w:rPr>
        <w:t xml:space="preserve"> esperados</w:t>
      </w:r>
    </w:p>
    <w:p w14:paraId="4D32562A" w14:textId="77777777" w:rsidR="00B1723C" w:rsidRPr="005F09CC" w:rsidRDefault="00B1723C" w:rsidP="005F09CC">
      <w:pPr>
        <w:spacing w:line="0" w:lineRule="atLeast"/>
        <w:rPr>
          <w:rFonts w:eastAsia="Calibri Light"/>
          <w:b/>
        </w:rPr>
      </w:pPr>
    </w:p>
    <w:p w14:paraId="088DCF73" w14:textId="4FF118DB" w:rsidR="00941434" w:rsidRDefault="00941434" w:rsidP="007A5F4D">
      <w:pPr>
        <w:spacing w:line="480" w:lineRule="auto"/>
        <w:jc w:val="both"/>
        <w:rPr>
          <w:rFonts w:eastAsia="Calibri Light"/>
        </w:rPr>
      </w:pPr>
    </w:p>
    <w:p w14:paraId="427FBDC2" w14:textId="2EA718B1" w:rsidR="00941434" w:rsidRPr="00FD33DA" w:rsidRDefault="00FD33DA" w:rsidP="00941434">
      <w:pPr>
        <w:spacing w:line="480" w:lineRule="auto"/>
        <w:jc w:val="both"/>
        <w:rPr>
          <w:rFonts w:eastAsia="Calibri Light"/>
          <w:b/>
        </w:rPr>
      </w:pPr>
      <w:r>
        <w:rPr>
          <w:rFonts w:eastAsia="Calibri Light"/>
          <w:b/>
        </w:rPr>
        <w:t xml:space="preserve">7.1 </w:t>
      </w:r>
      <w:r w:rsidRPr="00FD33DA">
        <w:rPr>
          <w:rFonts w:eastAsia="Calibri Light"/>
          <w:b/>
        </w:rPr>
        <w:t xml:space="preserve">Revisión de literatura de frontera sobre la investigación formativa en contabilidad de España </w:t>
      </w:r>
      <w:proofErr w:type="spellStart"/>
      <w:r w:rsidRPr="00FD33DA">
        <w:rPr>
          <w:rFonts w:eastAsia="Calibri Light"/>
          <w:b/>
        </w:rPr>
        <w:t>vr</w:t>
      </w:r>
      <w:proofErr w:type="spellEnd"/>
      <w:r w:rsidRPr="00FD33DA">
        <w:rPr>
          <w:rFonts w:eastAsia="Calibri Light"/>
          <w:b/>
        </w:rPr>
        <w:t xml:space="preserve"> Colombia</w:t>
      </w:r>
    </w:p>
    <w:p w14:paraId="3910A308" w14:textId="6A593F0B" w:rsidR="00941434" w:rsidRPr="00941434" w:rsidRDefault="00941434" w:rsidP="00941434">
      <w:pPr>
        <w:spacing w:line="480" w:lineRule="auto"/>
        <w:jc w:val="both"/>
        <w:rPr>
          <w:rFonts w:eastAsia="Calibri Light"/>
        </w:rPr>
      </w:pPr>
    </w:p>
    <w:p w14:paraId="4E4B3968" w14:textId="77777777" w:rsidR="00941434" w:rsidRPr="00941434" w:rsidRDefault="00941434" w:rsidP="00941434">
      <w:pPr>
        <w:spacing w:line="480" w:lineRule="auto"/>
        <w:jc w:val="both"/>
        <w:rPr>
          <w:rFonts w:eastAsia="Calibri Light"/>
        </w:rPr>
      </w:pPr>
      <w:r w:rsidRPr="00941434">
        <w:rPr>
          <w:rFonts w:eastAsia="Calibri Light"/>
        </w:rPr>
        <w:t>Actualmente la situación de los estudios superiores en España ha sufrido grandes cambios en los últimos años, provocado por la adhesión de España el EEES. Este proceso de homogeneización se inició a finales de los años noventa, en 1999, 29 países europeos firmaron la Declaración de Bolonia en donde se acordaba la creación del mencionado Espacio Europeo de Educación Superior (</w:t>
      </w:r>
      <w:proofErr w:type="spellStart"/>
      <w:r w:rsidRPr="00941434">
        <w:rPr>
          <w:rFonts w:eastAsia="Calibri Light"/>
        </w:rPr>
        <w:t>Dolz</w:t>
      </w:r>
      <w:proofErr w:type="spellEnd"/>
      <w:r w:rsidRPr="00941434">
        <w:rPr>
          <w:rFonts w:eastAsia="Calibri Light"/>
        </w:rPr>
        <w:t>, 2016).</w:t>
      </w:r>
    </w:p>
    <w:p w14:paraId="36E619E8" w14:textId="77777777" w:rsidR="00941434" w:rsidRPr="00941434" w:rsidRDefault="00941434" w:rsidP="00941434">
      <w:pPr>
        <w:spacing w:line="480" w:lineRule="auto"/>
        <w:jc w:val="both"/>
        <w:rPr>
          <w:rFonts w:eastAsia="Calibri Light"/>
        </w:rPr>
      </w:pPr>
    </w:p>
    <w:p w14:paraId="347CABEE" w14:textId="77777777" w:rsidR="00941434" w:rsidRPr="00941434" w:rsidRDefault="00941434" w:rsidP="00941434">
      <w:pPr>
        <w:spacing w:line="480" w:lineRule="auto"/>
        <w:jc w:val="both"/>
        <w:rPr>
          <w:rFonts w:eastAsia="Calibri Light"/>
        </w:rPr>
      </w:pPr>
      <w:r w:rsidRPr="00941434">
        <w:rPr>
          <w:rFonts w:eastAsia="Calibri Light"/>
        </w:rPr>
        <w:t xml:space="preserve">El objetivo principal es estandarizar la enseñanza superior a nivel europeo a través de la homologación común con el fin de fomentar la libre circulación de estudiantes y titulados en un mercado laboral único. Esto implicó no solo una reforma en los programas y políticas de </w:t>
      </w:r>
      <w:r w:rsidRPr="00941434">
        <w:rPr>
          <w:rFonts w:eastAsia="Calibri Light"/>
        </w:rPr>
        <w:lastRenderedPageBreak/>
        <w:t>educación superior, sino una homogeneización de los contenidos y metodologías empleadas por los docentes (Ruiz y Martin, 2005).</w:t>
      </w:r>
    </w:p>
    <w:p w14:paraId="2DDC8A5A" w14:textId="77777777" w:rsidR="00941434" w:rsidRPr="00941434" w:rsidRDefault="00941434" w:rsidP="00941434">
      <w:pPr>
        <w:spacing w:line="480" w:lineRule="auto"/>
        <w:jc w:val="both"/>
        <w:rPr>
          <w:rFonts w:eastAsia="Calibri Light"/>
        </w:rPr>
      </w:pPr>
    </w:p>
    <w:p w14:paraId="02835864" w14:textId="77777777" w:rsidR="00827ACA" w:rsidRDefault="00941434" w:rsidP="00941434">
      <w:pPr>
        <w:spacing w:line="480" w:lineRule="auto"/>
        <w:jc w:val="both"/>
        <w:rPr>
          <w:rFonts w:eastAsia="Calibri Light"/>
        </w:rPr>
      </w:pPr>
      <w:r w:rsidRPr="00941434">
        <w:rPr>
          <w:rFonts w:eastAsia="Calibri Light"/>
        </w:rPr>
        <w:t xml:space="preserve">Todo este proceso de confluencia europea queda recogido en la Ley Orgánica 4/2007, de 12 de abril, por la que se modifica la Ley Orgánica 6/2001, de 21 de diciembre de las Universidades. Ley que recogía anteriormente la normativa básica en materia de enseñanza superior en España. </w:t>
      </w:r>
    </w:p>
    <w:p w14:paraId="00B45DB7" w14:textId="2D6B2551" w:rsidR="00941434" w:rsidRPr="00941434" w:rsidRDefault="00941434" w:rsidP="00941434">
      <w:pPr>
        <w:spacing w:line="480" w:lineRule="auto"/>
        <w:jc w:val="both"/>
        <w:rPr>
          <w:rFonts w:eastAsia="Calibri Light"/>
        </w:rPr>
      </w:pPr>
      <w:r w:rsidRPr="00941434">
        <w:rPr>
          <w:rFonts w:eastAsia="Calibri Light"/>
        </w:rPr>
        <w:t>De este modo la regulación básica aplicable a la enseñanza superior queda recogida en estas dos leyes, así mismo son varios los Reales Decretos que complementan a dicha legislación es aspectos tales como el acceso y la admisión a la enseñanza superior, las equivalencias de los títulos, la contratación del personal docente e investigador, las cualificaciones y las verificaciones de los títulos que habilitan al ejercicio de una profesión regulada, entre los cuales destacan el Real Decreto 1393/2007, el Real Decreto 99/2011 y el Real Decreto 1027/2011, en ellos se establece el marco normativo de las enseñanzas universitarias ya sea de grado y postgrado (master y doctorado). La principal novedad que introducen estos Reales Decretos es la ampliación de la autonomía, puesto que desde ese momento son las mismas universidades las que proponen y crean los títulos y enseñanzas a impartir, sin tener que estar preestablecidas en un catálogo como ocurría hasta entonces. (</w:t>
      </w:r>
      <w:proofErr w:type="spellStart"/>
      <w:r w:rsidRPr="00941434">
        <w:rPr>
          <w:rFonts w:eastAsia="Calibri Light"/>
        </w:rPr>
        <w:t>Dolz</w:t>
      </w:r>
      <w:proofErr w:type="spellEnd"/>
      <w:r w:rsidRPr="00941434">
        <w:rPr>
          <w:rFonts w:eastAsia="Calibri Light"/>
        </w:rPr>
        <w:t>, 2016).</w:t>
      </w:r>
    </w:p>
    <w:p w14:paraId="7651710E" w14:textId="77777777" w:rsidR="00827ACA" w:rsidRDefault="00827ACA" w:rsidP="001B2C6F">
      <w:pPr>
        <w:spacing w:line="480" w:lineRule="auto"/>
        <w:jc w:val="both"/>
        <w:rPr>
          <w:rFonts w:eastAsia="Calibri Light"/>
        </w:rPr>
      </w:pPr>
    </w:p>
    <w:p w14:paraId="6357EC5F" w14:textId="4F226A36" w:rsidR="00DC1375" w:rsidRDefault="001B2C6F" w:rsidP="001B2C6F">
      <w:pPr>
        <w:spacing w:line="480" w:lineRule="auto"/>
        <w:jc w:val="both"/>
        <w:rPr>
          <w:rFonts w:eastAsia="Calibri Light"/>
        </w:rPr>
      </w:pPr>
      <w:r w:rsidRPr="001B2C6F">
        <w:rPr>
          <w:rFonts w:eastAsia="Calibri Light"/>
        </w:rPr>
        <w:t xml:space="preserve">En un análisis de la literatura acerca de la relación entre la investigación contable y su aplicación en el campo financiero, resulta que en los últimos años, hay autores que consideran este tipo de investigación como una oportunidad donde grandes y pequeños empresarios dan </w:t>
      </w:r>
      <w:r w:rsidRPr="001B2C6F">
        <w:rPr>
          <w:rFonts w:eastAsia="Calibri Light"/>
        </w:rPr>
        <w:lastRenderedPageBreak/>
        <w:t xml:space="preserve">sustentabilidad económica a sus negocios, </w:t>
      </w:r>
      <w:proofErr w:type="spellStart"/>
      <w:r w:rsidRPr="001B2C6F">
        <w:rPr>
          <w:rFonts w:eastAsia="Calibri Light"/>
        </w:rPr>
        <w:t>Seltzer</w:t>
      </w:r>
      <w:proofErr w:type="spellEnd"/>
      <w:r w:rsidRPr="001B2C6F">
        <w:rPr>
          <w:rFonts w:eastAsia="Calibri Light"/>
        </w:rPr>
        <w:t xml:space="preserve">, (2000), mientras otro autor como García, (1990) sostiene en un estudio realizado en Argentina que la investigación en finanzas donde se incluye la contabilidad y la auditoria ha tenido un desarrollo notable en Estados Unidos, España, Inglaterra, Australia y en los países orientales, donde la información financiera es utilizada para desarrollar e impulsar grandes proyectos económicos (Burgos y </w:t>
      </w:r>
      <w:proofErr w:type="spellStart"/>
      <w:r w:rsidRPr="001B2C6F">
        <w:rPr>
          <w:rFonts w:eastAsia="Calibri Light"/>
        </w:rPr>
        <w:t>Bonisoli</w:t>
      </w:r>
      <w:proofErr w:type="spellEnd"/>
      <w:r w:rsidRPr="001B2C6F">
        <w:rPr>
          <w:rFonts w:eastAsia="Calibri Light"/>
        </w:rPr>
        <w:t xml:space="preserve">, 2016). </w:t>
      </w:r>
    </w:p>
    <w:p w14:paraId="3A61A5CD" w14:textId="77777777" w:rsidR="00827ACA" w:rsidRPr="001B2C6F" w:rsidRDefault="00827ACA" w:rsidP="001B2C6F">
      <w:pPr>
        <w:spacing w:line="480" w:lineRule="auto"/>
        <w:jc w:val="both"/>
        <w:rPr>
          <w:rFonts w:eastAsia="Calibri Light"/>
        </w:rPr>
      </w:pPr>
    </w:p>
    <w:p w14:paraId="00BF1B53" w14:textId="77777777" w:rsidR="001B2C6F" w:rsidRPr="001B2C6F" w:rsidRDefault="001B2C6F" w:rsidP="001B2C6F">
      <w:pPr>
        <w:spacing w:line="480" w:lineRule="auto"/>
        <w:jc w:val="both"/>
        <w:rPr>
          <w:rFonts w:eastAsia="Calibri Light"/>
        </w:rPr>
      </w:pPr>
      <w:r w:rsidRPr="001B2C6F">
        <w:rPr>
          <w:rFonts w:eastAsia="Calibri Light"/>
        </w:rPr>
        <w:t xml:space="preserve">En España existen 28 programas de grado en Finanzas y Contabilidad, ofertados por 23 Instituciones de Educación Superior, en su mayoría (95,65%) de carácter público (España - Ministerio de Educación Cultura y Deporte, 2015), de las cuales siete (7) se encuentran en el Ranking QS de Universidades Europeas (Burgos y </w:t>
      </w:r>
      <w:proofErr w:type="spellStart"/>
      <w:r w:rsidRPr="001B2C6F">
        <w:rPr>
          <w:rFonts w:eastAsia="Calibri Light"/>
        </w:rPr>
        <w:t>Bonisoli</w:t>
      </w:r>
      <w:proofErr w:type="spellEnd"/>
      <w:r w:rsidRPr="001B2C6F">
        <w:rPr>
          <w:rFonts w:eastAsia="Calibri Light"/>
        </w:rPr>
        <w:t>, 2016).</w:t>
      </w:r>
    </w:p>
    <w:p w14:paraId="3E87E2AB" w14:textId="77777777" w:rsidR="001B2C6F" w:rsidRPr="001B2C6F" w:rsidRDefault="001B2C6F" w:rsidP="001B2C6F">
      <w:pPr>
        <w:spacing w:line="480" w:lineRule="auto"/>
        <w:jc w:val="both"/>
        <w:rPr>
          <w:rFonts w:eastAsia="Calibri Light"/>
        </w:rPr>
      </w:pPr>
    </w:p>
    <w:p w14:paraId="4803EC47" w14:textId="1993CED2" w:rsidR="001B2C6F" w:rsidRDefault="001B2C6F" w:rsidP="007A5F4D">
      <w:pPr>
        <w:spacing w:line="480" w:lineRule="auto"/>
        <w:jc w:val="both"/>
        <w:rPr>
          <w:rFonts w:eastAsia="Calibri Light"/>
        </w:rPr>
      </w:pPr>
      <w:r w:rsidRPr="001B2C6F">
        <w:rPr>
          <w:rFonts w:eastAsia="Calibri Light"/>
        </w:rPr>
        <w:t>La profesión contable y la difusión de trabajos de investigación en España, ha recibido un fuerte impulso desde asociaciones profesionales como AECA o profesorales como ASEPUC. Sin embargo, el ámbito de la educación contable, hasta ahora, empieza emerger con cierta identidad, aumentando en circulación e integrando diversas clases de trabajo. Si bien, el contexto español ha sido uno de los espacios en donde las perspectivas críticas han influenciado más, se puede decir, que la mayoría de los trabajos responden al ámbito de la “reforma”. Se observa, que los cambios del sistema de educación superior y la paulatina inserción en el modelo de Bolonia, ha generado una gran cantidad de controversias, así como una mayor preocupación por los aspectos de “calidad</w:t>
      </w:r>
      <w:r>
        <w:rPr>
          <w:rFonts w:eastAsia="Calibri Light"/>
        </w:rPr>
        <w:t>” de la educación (León, 2013).</w:t>
      </w:r>
    </w:p>
    <w:p w14:paraId="56721505" w14:textId="77777777" w:rsidR="001B2C6F" w:rsidRDefault="001B2C6F" w:rsidP="007A5F4D">
      <w:pPr>
        <w:spacing w:line="480" w:lineRule="auto"/>
        <w:jc w:val="both"/>
        <w:rPr>
          <w:rFonts w:eastAsia="Calibri Light"/>
        </w:rPr>
      </w:pPr>
    </w:p>
    <w:p w14:paraId="733BE3DA" w14:textId="1817F5FA" w:rsidR="001B2C6F" w:rsidRDefault="001B2C6F" w:rsidP="001B2C6F">
      <w:pPr>
        <w:spacing w:line="480" w:lineRule="auto"/>
        <w:jc w:val="both"/>
        <w:rPr>
          <w:rFonts w:eastAsia="Calibri Light"/>
        </w:rPr>
      </w:pPr>
      <w:r>
        <w:rPr>
          <w:rFonts w:eastAsia="Calibri Light"/>
        </w:rPr>
        <w:lastRenderedPageBreak/>
        <w:t xml:space="preserve">Para el caso colombiano, </w:t>
      </w:r>
      <w:r w:rsidRPr="001B2C6F">
        <w:rPr>
          <w:rFonts w:eastAsia="Calibri Light"/>
        </w:rPr>
        <w:t xml:space="preserve">no podía faltar la necesidad de la transversalidad de la investigación, donde se pretende que no se convierta sólo en tema de los cursos de metodología o seminarios de investigación, sino que ésta sea una necesidad que se piense y se trabaje en todos los espacios académicos del pensum para que, de esta forma, sea más evidente su importancia y se brinden construcciones que tengan un verdadero aporte para quien las realiza y para la disciplina y profesión contables (Robles, 2011). </w:t>
      </w:r>
    </w:p>
    <w:p w14:paraId="01B9342E" w14:textId="77777777" w:rsidR="00DC1375" w:rsidRDefault="00DC1375" w:rsidP="001B2C6F">
      <w:pPr>
        <w:spacing w:line="480" w:lineRule="auto"/>
        <w:jc w:val="both"/>
        <w:rPr>
          <w:rFonts w:eastAsia="Calibri Light"/>
        </w:rPr>
      </w:pPr>
    </w:p>
    <w:p w14:paraId="48387A0A" w14:textId="09AB0A5C" w:rsidR="001B2C6F" w:rsidRPr="001B2C6F" w:rsidRDefault="001B2C6F" w:rsidP="001B2C6F">
      <w:pPr>
        <w:spacing w:line="480" w:lineRule="auto"/>
        <w:jc w:val="both"/>
        <w:rPr>
          <w:rFonts w:eastAsia="Calibri Light"/>
        </w:rPr>
      </w:pPr>
      <w:r w:rsidRPr="001B2C6F">
        <w:rPr>
          <w:rFonts w:eastAsia="Calibri Light"/>
        </w:rPr>
        <w:t xml:space="preserve">Actualmente buena parte de los programas de contaduría pública en el país dejan entrever en sus estructuras curriculares algunas apuestas por la formación en otras disciplinas que dialogan con la contabilidad, así como contenidos de investigación; aunque aún no ha sido comprendida plenamente su potencialidad en la formación de contadores públicos, cuya profesión se ha tildado siempre de técnica-instrumental y de pocos fundamentos científicos. De todos modos, el hecho de que desde múltiples escenarios locales y externos (Colciencias, Unesco, Banco Mundial) se insista en la necesidad de impulsar la investigación en las universidades, ha generado una preocupación en torno a la investigación contable en los programas y facultades de contaduría pública, y representa un avance que no puede demeritarse, y que más bien debe reconocerse como un logro significativo para la educación, la disciplina y la profesión (Muñoz, Ruiz y Sarmiento, 2015). </w:t>
      </w:r>
    </w:p>
    <w:p w14:paraId="39AEB0B8" w14:textId="77777777" w:rsidR="001B2C6F" w:rsidRPr="001B2C6F" w:rsidRDefault="001B2C6F" w:rsidP="001B2C6F">
      <w:pPr>
        <w:spacing w:line="480" w:lineRule="auto"/>
        <w:jc w:val="both"/>
        <w:rPr>
          <w:rFonts w:eastAsia="Calibri Light"/>
        </w:rPr>
      </w:pPr>
    </w:p>
    <w:p w14:paraId="7DBE4993" w14:textId="77777777" w:rsidR="001B2C6F" w:rsidRPr="001B2C6F" w:rsidRDefault="001B2C6F" w:rsidP="001B2C6F">
      <w:pPr>
        <w:spacing w:line="480" w:lineRule="auto"/>
        <w:jc w:val="both"/>
        <w:rPr>
          <w:rFonts w:eastAsia="Calibri Light"/>
        </w:rPr>
      </w:pPr>
      <w:r w:rsidRPr="001B2C6F">
        <w:rPr>
          <w:rFonts w:eastAsia="Calibri Light"/>
        </w:rPr>
        <w:t xml:space="preserve">Las prácticas investigativas contables en Colombia han presentado en este tiempo unas características de necesaria mención: interdisciplinaria o al menos con el concurso de más de una disciplina distinta a la propia contabilidad, en alguna medida ha sido crítica de las </w:t>
      </w:r>
      <w:r w:rsidRPr="001B2C6F">
        <w:rPr>
          <w:rFonts w:eastAsia="Calibri Light"/>
        </w:rPr>
        <w:lastRenderedPageBreak/>
        <w:t>relaciones sociales y políticas propias del capitalismo, con enfoques especialmente cuantitativos (IFAC, 2008), y con una evidente intención de hacer un reconocimiento de la contabilidad como disciplina social. Sin embargo, estas prácticas investigativas no se han desarrollado privilegiadamente en la universidad, apenas en los últimos años se han configurado múltiples grupos de investigación contable que han agenciado cantidades importantes de proyectos (Muñoz, Ruiz y Sarmiento, 2015).</w:t>
      </w:r>
    </w:p>
    <w:p w14:paraId="0819783A" w14:textId="77777777" w:rsidR="001B2C6F" w:rsidRPr="001B2C6F" w:rsidRDefault="001B2C6F" w:rsidP="001B2C6F">
      <w:pPr>
        <w:spacing w:line="480" w:lineRule="auto"/>
        <w:jc w:val="both"/>
        <w:rPr>
          <w:rFonts w:eastAsia="Calibri Light"/>
        </w:rPr>
      </w:pPr>
    </w:p>
    <w:p w14:paraId="5289BF2F" w14:textId="022E12CD" w:rsidR="001B2C6F" w:rsidRDefault="001B2C6F" w:rsidP="001B2C6F">
      <w:pPr>
        <w:spacing w:line="480" w:lineRule="auto"/>
        <w:jc w:val="both"/>
        <w:rPr>
          <w:rFonts w:eastAsia="Calibri Light"/>
        </w:rPr>
      </w:pPr>
      <w:r w:rsidRPr="001B2C6F">
        <w:rPr>
          <w:rFonts w:eastAsia="Calibri Light"/>
        </w:rPr>
        <w:t>Podría evaluarse diversos aspectos de la educación contable, pero indiscutiblemente la formación en investigación ha sido uno de los componentes curriculares a los que más se le ha asignado la responsabilidad de producir tales aprendizajes y transformaciones, más allá de reconocer que la investigación contable empírica tradicional atiende esencialmente necesidades del entorno empresarial, pero no necesariamente contribuye a satisfacer otras demandas de mayor calado social y organizacional (</w:t>
      </w:r>
      <w:proofErr w:type="spellStart"/>
      <w:r w:rsidRPr="001B2C6F">
        <w:rPr>
          <w:rFonts w:eastAsia="Calibri Light"/>
        </w:rPr>
        <w:t>Larrinaga</w:t>
      </w:r>
      <w:proofErr w:type="spellEnd"/>
      <w:r w:rsidRPr="001B2C6F">
        <w:rPr>
          <w:rFonts w:eastAsia="Calibri Light"/>
        </w:rPr>
        <w:t xml:space="preserve"> &amp; </w:t>
      </w:r>
      <w:proofErr w:type="spellStart"/>
      <w:r w:rsidRPr="001B2C6F">
        <w:rPr>
          <w:rFonts w:eastAsia="Calibri Light"/>
        </w:rPr>
        <w:t>Moneva</w:t>
      </w:r>
      <w:proofErr w:type="spellEnd"/>
      <w:r w:rsidRPr="001B2C6F">
        <w:rPr>
          <w:rFonts w:eastAsia="Calibri Light"/>
        </w:rPr>
        <w:t xml:space="preserve">, 2005; </w:t>
      </w:r>
      <w:proofErr w:type="spellStart"/>
      <w:r w:rsidRPr="001B2C6F">
        <w:rPr>
          <w:rFonts w:eastAsia="Calibri Light"/>
        </w:rPr>
        <w:t>Pesqueux</w:t>
      </w:r>
      <w:proofErr w:type="spellEnd"/>
      <w:r w:rsidRPr="001B2C6F">
        <w:rPr>
          <w:rFonts w:eastAsia="Calibri Light"/>
        </w:rPr>
        <w:t xml:space="preserve">, 2009; Evans et al., 2014). </w:t>
      </w:r>
    </w:p>
    <w:p w14:paraId="3C93F846" w14:textId="77777777" w:rsidR="005A1372" w:rsidRPr="001B2C6F" w:rsidRDefault="005A1372" w:rsidP="001B2C6F">
      <w:pPr>
        <w:spacing w:line="480" w:lineRule="auto"/>
        <w:jc w:val="both"/>
        <w:rPr>
          <w:rFonts w:eastAsia="Calibri Light"/>
        </w:rPr>
      </w:pPr>
    </w:p>
    <w:p w14:paraId="0978455F" w14:textId="4C1AC615" w:rsidR="001B2C6F" w:rsidRPr="001B2C6F" w:rsidRDefault="001B2C6F" w:rsidP="001B2C6F">
      <w:pPr>
        <w:spacing w:line="480" w:lineRule="auto"/>
        <w:jc w:val="both"/>
        <w:rPr>
          <w:rFonts w:eastAsia="Calibri Light"/>
        </w:rPr>
      </w:pPr>
      <w:r w:rsidRPr="001B2C6F">
        <w:rPr>
          <w:rFonts w:eastAsia="Calibri Light"/>
        </w:rPr>
        <w:t>Al menos en Colombia, buena parte de los diagnósticos presentados en los encuentros nacionales de profesores de Contaduría Pública y congresos de contadores públicos e investigadores contables, así como los informes oficiales sustentados en las pruebas de estado Saber Pro, coinciden en señalar estas deficiencias formativas, como factores determinantes de un desempeño profesional poco destacado (Muñoz, Ruiz y Sarmiento, 2015).</w:t>
      </w:r>
    </w:p>
    <w:p w14:paraId="6609F213" w14:textId="77777777" w:rsidR="001B2C6F" w:rsidRPr="001B2C6F" w:rsidRDefault="001B2C6F" w:rsidP="001B2C6F">
      <w:pPr>
        <w:spacing w:line="480" w:lineRule="auto"/>
        <w:jc w:val="both"/>
        <w:rPr>
          <w:rFonts w:eastAsia="Calibri Light"/>
        </w:rPr>
      </w:pPr>
    </w:p>
    <w:p w14:paraId="2698B552" w14:textId="77777777" w:rsidR="001B2C6F" w:rsidRPr="001B2C6F" w:rsidRDefault="001B2C6F" w:rsidP="001B2C6F">
      <w:pPr>
        <w:spacing w:line="480" w:lineRule="auto"/>
        <w:jc w:val="both"/>
        <w:rPr>
          <w:rFonts w:eastAsia="Calibri Light"/>
        </w:rPr>
      </w:pPr>
      <w:r w:rsidRPr="001B2C6F">
        <w:rPr>
          <w:rFonts w:eastAsia="Calibri Light"/>
        </w:rPr>
        <w:lastRenderedPageBreak/>
        <w:t xml:space="preserve">Para la construcción de la interpretación, en este estudio se consideraron imprescindibles –como punto de partida– las preguntas por lo que se enseña, el cómo se enseña y el para qué se enseña, por dos razones fundamentales: la primera, porque de acuerdo con </w:t>
      </w:r>
      <w:proofErr w:type="spellStart"/>
      <w:r w:rsidRPr="001B2C6F">
        <w:rPr>
          <w:rFonts w:eastAsia="Calibri Light"/>
        </w:rPr>
        <w:t>Klafki</w:t>
      </w:r>
      <w:proofErr w:type="spellEnd"/>
      <w:r w:rsidRPr="001B2C6F">
        <w:rPr>
          <w:rFonts w:eastAsia="Calibri Light"/>
        </w:rPr>
        <w:t xml:space="preserve"> (1986) la reflexión didáctica no puede centrarse en las intencionalidades formativas de unos contenidos separadamente de las formas en que estos son abordados o enseñados; y segunda, porque esas preguntas configuran la puerta de entrada a la experiencia docente del enseñar investigación contable, ya que con base en estas explicitaciones iniciales de sentido se ubican los caminos categoriales para la comprensión –ya no primaria– de las didácticas utilizadas por los profesores (Muñoz, Ruiz y Sarmiento, 2015).</w:t>
      </w:r>
    </w:p>
    <w:p w14:paraId="4B70CC47" w14:textId="77777777" w:rsidR="001B2C6F" w:rsidRPr="001B2C6F" w:rsidRDefault="001B2C6F" w:rsidP="001B2C6F">
      <w:pPr>
        <w:spacing w:line="480" w:lineRule="auto"/>
        <w:jc w:val="both"/>
        <w:rPr>
          <w:rFonts w:eastAsia="Calibri Light"/>
        </w:rPr>
      </w:pPr>
    </w:p>
    <w:p w14:paraId="41599031" w14:textId="77777777" w:rsidR="001B2C6F" w:rsidRPr="001B2C6F" w:rsidRDefault="001B2C6F" w:rsidP="001B2C6F">
      <w:pPr>
        <w:spacing w:line="480" w:lineRule="auto"/>
        <w:jc w:val="both"/>
        <w:rPr>
          <w:rFonts w:eastAsia="Calibri Light"/>
        </w:rPr>
      </w:pPr>
      <w:r w:rsidRPr="001B2C6F">
        <w:rPr>
          <w:rFonts w:eastAsia="Calibri Light"/>
        </w:rPr>
        <w:t>En la mayoría de los programas, la formación para la investigación se incluye dentro del componente socio-humanístico, el cual pretende dotar a los estudiantes de elementos provenientes de las ciencias humanas y sociales, para que pueda actuar en todos los escenarios organizacionales, atendiendo a unas premisas de la ética profesional y la moral social; de ello se deriva que la formación para la investigación tendría como primeros propósitos la potenciación de actitudes y aptitudes referidas a la subjetividad y la intersubjetividad. Esto resulta cuando menos curioso, una vez que tradicionalmente la investigación es considerada en primera medida una práctica científica y académica, de la que en todo caso pueden esperarse otros resultados, pero esencialmente se le plantean compromisos con la producción, reproducción y ampliación de los límites de los campos de conocimiento (Muñoz, Ruiz y Sarmiento, 2015).</w:t>
      </w:r>
    </w:p>
    <w:p w14:paraId="68915E66" w14:textId="1FDF144E" w:rsidR="002454BE" w:rsidRDefault="002454BE" w:rsidP="007A5F4D">
      <w:pPr>
        <w:spacing w:line="480" w:lineRule="auto"/>
        <w:jc w:val="both"/>
        <w:rPr>
          <w:rFonts w:eastAsia="Calibri Light"/>
        </w:rPr>
      </w:pPr>
    </w:p>
    <w:p w14:paraId="42C1669E" w14:textId="1D9ACCA3" w:rsidR="002454BE" w:rsidRDefault="00FD33DA" w:rsidP="00FD33DA">
      <w:pPr>
        <w:pStyle w:val="Ttulo1"/>
        <w:numPr>
          <w:ilvl w:val="1"/>
          <w:numId w:val="21"/>
        </w:numPr>
        <w:rPr>
          <w:rFonts w:ascii="Times New Roman" w:hAnsi="Times New Roman" w:cs="Times New Roman"/>
          <w:b/>
          <w:color w:val="000000" w:themeColor="text1"/>
          <w:sz w:val="24"/>
        </w:rPr>
      </w:pPr>
      <w:bookmarkStart w:id="5" w:name="_Toc40973839"/>
      <w:r>
        <w:rPr>
          <w:rFonts w:ascii="Times New Roman" w:hAnsi="Times New Roman" w:cs="Times New Roman"/>
          <w:b/>
          <w:color w:val="000000" w:themeColor="text1"/>
          <w:sz w:val="24"/>
        </w:rPr>
        <w:lastRenderedPageBreak/>
        <w:t>E</w:t>
      </w:r>
      <w:r w:rsidRPr="0078240D">
        <w:rPr>
          <w:rFonts w:ascii="Times New Roman" w:hAnsi="Times New Roman" w:cs="Times New Roman"/>
          <w:b/>
          <w:color w:val="000000" w:themeColor="text1"/>
          <w:sz w:val="24"/>
        </w:rPr>
        <w:t xml:space="preserve">studio comparado </w:t>
      </w:r>
      <w:r>
        <w:rPr>
          <w:rFonts w:ascii="Times New Roman" w:hAnsi="Times New Roman" w:cs="Times New Roman"/>
          <w:b/>
          <w:color w:val="000000" w:themeColor="text1"/>
          <w:sz w:val="24"/>
        </w:rPr>
        <w:t>entre la investigación de la Universidad Autónoma de Occidente y la Universidad Autónoma de Madrid</w:t>
      </w:r>
      <w:bookmarkEnd w:id="5"/>
    </w:p>
    <w:p w14:paraId="3F1FD1D3" w14:textId="2113EC64" w:rsidR="002454BE" w:rsidRDefault="002454BE" w:rsidP="007A5F4D">
      <w:pPr>
        <w:spacing w:line="480" w:lineRule="auto"/>
        <w:jc w:val="both"/>
        <w:rPr>
          <w:rFonts w:eastAsia="Calibri Light"/>
        </w:rPr>
      </w:pPr>
    </w:p>
    <w:p w14:paraId="01163601" w14:textId="780B2A7B" w:rsidR="002454BE" w:rsidRPr="00FD33DA" w:rsidRDefault="00FD33DA" w:rsidP="007A5F4D">
      <w:pPr>
        <w:spacing w:line="480" w:lineRule="auto"/>
        <w:jc w:val="both"/>
        <w:rPr>
          <w:rFonts w:eastAsia="Calibri Light"/>
          <w:b/>
        </w:rPr>
      </w:pPr>
      <w:r>
        <w:rPr>
          <w:b/>
          <w:color w:val="000000" w:themeColor="text1"/>
        </w:rPr>
        <w:t xml:space="preserve">La Investigación en la </w:t>
      </w:r>
      <w:r w:rsidRPr="00FD33DA">
        <w:rPr>
          <w:b/>
          <w:color w:val="000000" w:themeColor="text1"/>
        </w:rPr>
        <w:t>Universidad Autónoma De Occidente</w:t>
      </w:r>
    </w:p>
    <w:p w14:paraId="0CA8920D" w14:textId="77777777" w:rsidR="002454BE" w:rsidRPr="002454BE" w:rsidRDefault="002454BE" w:rsidP="002454BE">
      <w:pPr>
        <w:spacing w:line="480" w:lineRule="auto"/>
        <w:jc w:val="both"/>
        <w:rPr>
          <w:rFonts w:eastAsia="Calibri Light"/>
        </w:rPr>
      </w:pPr>
      <w:r w:rsidRPr="002454BE">
        <w:rPr>
          <w:rFonts w:eastAsia="Calibri Light"/>
        </w:rPr>
        <w:t>El comité central de investigaciones es el órgano encargado de la aprobación y toma de decisiones requeridas para la ejecución de la política de investigación formulada por la Dirección de investigaciones y Desarrollo Tecnológico. Este Comité está integrado por el Director de Investigaciones y Desarrollo Tecnológico, quien lo preside, el Vicerrector Académico, el Jefe de la Oficina de Fomento y Apoyo a la Investigación, el Jefe de la Oficina de Gestión de Innovación y Desarrollo Tecnológico, tres (3) docentes investigadores designados por el Rector y un representante de una entidad externa (Resolución de Rectoría No 3781 de 1998), (Universidad Autónoma de Occidente).</w:t>
      </w:r>
    </w:p>
    <w:p w14:paraId="39F7A808" w14:textId="77777777" w:rsidR="002454BE" w:rsidRPr="002454BE" w:rsidRDefault="002454BE" w:rsidP="002454BE">
      <w:pPr>
        <w:spacing w:line="480" w:lineRule="auto"/>
        <w:jc w:val="both"/>
        <w:rPr>
          <w:rFonts w:eastAsia="Calibri Light"/>
        </w:rPr>
      </w:pPr>
    </w:p>
    <w:p w14:paraId="1524C685" w14:textId="6A82FD87" w:rsidR="005A1372" w:rsidRDefault="002454BE" w:rsidP="002454BE">
      <w:pPr>
        <w:spacing w:line="480" w:lineRule="auto"/>
        <w:jc w:val="both"/>
        <w:rPr>
          <w:rFonts w:eastAsia="Calibri Light"/>
        </w:rPr>
      </w:pPr>
      <w:r w:rsidRPr="002454BE">
        <w:rPr>
          <w:rFonts w:eastAsia="Calibri Light"/>
        </w:rPr>
        <w:t>La oficina de fomento y apoyo a la investigación es la responsable de fomentar y apoyar los procesos relacionados con la política de investigación para la generación de cultura y formación de competencias investigativas en profesores y estudiantes. Entre sus funciones</w:t>
      </w:r>
      <w:r w:rsidR="005A1372">
        <w:rPr>
          <w:rFonts w:eastAsia="Calibri Light"/>
        </w:rPr>
        <w:t xml:space="preserve"> están</w:t>
      </w:r>
      <w:r w:rsidRPr="002454BE">
        <w:rPr>
          <w:rFonts w:eastAsia="Calibri Light"/>
        </w:rPr>
        <w:t xml:space="preserve"> </w:t>
      </w:r>
      <w:r w:rsidR="005A1372">
        <w:rPr>
          <w:rFonts w:eastAsia="Calibri Light"/>
        </w:rPr>
        <w:t>f</w:t>
      </w:r>
      <w:r w:rsidRPr="002454BE">
        <w:rPr>
          <w:rFonts w:eastAsia="Calibri Light"/>
        </w:rPr>
        <w:t>omentar estrategias de formación investigativa como la Escuela de Investigación, Semilleros de Investigación, Investigación en el Aula, Jornadas de Investigación, Pasantías de Investigación y las actividades académicas abiertas que contribuyen a la formación de la cultura investigativa. Apoyar las dinámicas académicas lideradas por la Red Escolar Autónoma, REA, adscrita a esta oficina, con los colegios de la región, facilitando la vinculación de las unidades académicas con estos procesos (Universidad Autónoma de Occidente).</w:t>
      </w:r>
    </w:p>
    <w:p w14:paraId="3E451F86" w14:textId="77777777" w:rsidR="00FD33DA" w:rsidRPr="002454BE" w:rsidRDefault="00FD33DA" w:rsidP="002454BE">
      <w:pPr>
        <w:spacing w:line="480" w:lineRule="auto"/>
        <w:jc w:val="both"/>
        <w:rPr>
          <w:rFonts w:eastAsia="Calibri Light"/>
        </w:rPr>
      </w:pPr>
    </w:p>
    <w:p w14:paraId="30D3FA1E" w14:textId="79C45E9C" w:rsidR="002454BE" w:rsidRPr="002454BE" w:rsidRDefault="002454BE" w:rsidP="002454BE">
      <w:pPr>
        <w:spacing w:line="480" w:lineRule="auto"/>
        <w:jc w:val="both"/>
        <w:rPr>
          <w:rFonts w:eastAsia="Calibri Light"/>
        </w:rPr>
      </w:pPr>
      <w:r w:rsidRPr="002454BE">
        <w:rPr>
          <w:rFonts w:eastAsia="Calibri Light"/>
        </w:rPr>
        <w:t xml:space="preserve">La formación investigativa en la UAO se divide en tres actividades: </w:t>
      </w:r>
    </w:p>
    <w:p w14:paraId="4F2F0B6B" w14:textId="77777777" w:rsidR="002454BE" w:rsidRPr="002454BE" w:rsidRDefault="002454BE" w:rsidP="002454BE">
      <w:pPr>
        <w:spacing w:line="480" w:lineRule="auto"/>
        <w:jc w:val="both"/>
        <w:rPr>
          <w:rFonts w:eastAsia="Calibri Light"/>
        </w:rPr>
      </w:pPr>
      <w:r w:rsidRPr="002454BE">
        <w:rPr>
          <w:rFonts w:eastAsia="Calibri Light"/>
        </w:rPr>
        <w:t>Pasantía de investigación: se entiende como el trabajo que adelanta un estudiante en calidad de asistente de investigación en un proyecto o programa de un Grupo o Centro de Investigación de la Universidad Autónoma de Occidente, del país o del exterior, bajo la tutoría del profesor investigador (Universidad Autónoma de Occidente).</w:t>
      </w:r>
    </w:p>
    <w:p w14:paraId="5AD5DC64" w14:textId="77777777" w:rsidR="002454BE" w:rsidRPr="002454BE" w:rsidRDefault="002454BE" w:rsidP="002454BE">
      <w:pPr>
        <w:spacing w:line="480" w:lineRule="auto"/>
        <w:jc w:val="both"/>
        <w:rPr>
          <w:rFonts w:eastAsia="Calibri Light"/>
        </w:rPr>
      </w:pPr>
    </w:p>
    <w:p w14:paraId="5974BDF8" w14:textId="5CEC41EC" w:rsidR="002454BE" w:rsidRPr="002454BE" w:rsidRDefault="002454BE" w:rsidP="002454BE">
      <w:pPr>
        <w:spacing w:line="480" w:lineRule="auto"/>
        <w:jc w:val="both"/>
        <w:rPr>
          <w:rFonts w:eastAsia="Calibri Light"/>
        </w:rPr>
      </w:pPr>
      <w:r w:rsidRPr="002454BE">
        <w:rPr>
          <w:rFonts w:eastAsia="Calibri Light"/>
        </w:rPr>
        <w:t xml:space="preserve">Investigación en el aula: </w:t>
      </w:r>
      <w:r w:rsidR="005A1372">
        <w:rPr>
          <w:rFonts w:eastAsia="Calibri Light"/>
        </w:rPr>
        <w:t>E</w:t>
      </w:r>
      <w:r w:rsidRPr="002454BE">
        <w:rPr>
          <w:rFonts w:eastAsia="Calibri Light"/>
        </w:rPr>
        <w:t>l abordaje del proceso de formación por medio del análisis de problemas y estudios de caso, a través de la presentación de los denominados “Trabajos de investigación en el aula de clase”. Las temáticas tratadas en éstos se enmarcan en los problemas de investigación desarrolladas en las líneas de los grupos, las cuales se articulan a los ejes temáticos curriculares (Universidad Autónoma de Occidente).</w:t>
      </w:r>
    </w:p>
    <w:p w14:paraId="6EA8C488" w14:textId="77777777" w:rsidR="002454BE" w:rsidRPr="002454BE" w:rsidRDefault="002454BE" w:rsidP="002454BE">
      <w:pPr>
        <w:spacing w:line="480" w:lineRule="auto"/>
        <w:jc w:val="both"/>
        <w:rPr>
          <w:rFonts w:eastAsia="Calibri Light"/>
        </w:rPr>
      </w:pPr>
    </w:p>
    <w:p w14:paraId="5B8895C2" w14:textId="77777777" w:rsidR="002454BE" w:rsidRPr="002454BE" w:rsidRDefault="002454BE" w:rsidP="002454BE">
      <w:pPr>
        <w:spacing w:line="480" w:lineRule="auto"/>
        <w:jc w:val="both"/>
        <w:rPr>
          <w:rFonts w:eastAsia="Calibri Light"/>
        </w:rPr>
      </w:pPr>
      <w:r w:rsidRPr="002454BE">
        <w:rPr>
          <w:rFonts w:eastAsia="Calibri Light"/>
        </w:rPr>
        <w:t>Semilleros de Investigación: comunidades de aprendizaje integradas por estudiantes y profesores de diferentes disciplinas, desarrollando una formación colectiva integral, generadora de una cultura científica y social, liderando procesos que permiten explorar alternativas, y hacer de la investigación una fuente de conocimiento como eje básico del desarrollo individual y colectivo (Universidad Autónoma de Occidente).</w:t>
      </w:r>
    </w:p>
    <w:p w14:paraId="031F666F" w14:textId="5F69B18F" w:rsidR="002454BE" w:rsidRPr="002454BE" w:rsidRDefault="002454BE" w:rsidP="002454BE">
      <w:pPr>
        <w:spacing w:line="480" w:lineRule="auto"/>
        <w:jc w:val="both"/>
        <w:rPr>
          <w:rFonts w:eastAsia="Calibri Light"/>
        </w:rPr>
      </w:pPr>
    </w:p>
    <w:p w14:paraId="66A95556" w14:textId="77777777" w:rsidR="002454BE" w:rsidRPr="002454BE" w:rsidRDefault="002454BE" w:rsidP="002454BE">
      <w:pPr>
        <w:spacing w:line="480" w:lineRule="auto"/>
        <w:jc w:val="both"/>
        <w:rPr>
          <w:rFonts w:eastAsia="Calibri Light"/>
        </w:rPr>
      </w:pPr>
      <w:r w:rsidRPr="002454BE">
        <w:rPr>
          <w:rFonts w:eastAsia="Calibri Light"/>
        </w:rPr>
        <w:t xml:space="preserve">En la Universidad Autónoma de Occidente los grupos de investigación de la facultad de Ciencias Económicas y Administrativas se dividen en tres: </w:t>
      </w:r>
    </w:p>
    <w:p w14:paraId="093BBA1C" w14:textId="77777777" w:rsidR="002454BE" w:rsidRPr="002454BE" w:rsidRDefault="002454BE" w:rsidP="002454BE">
      <w:pPr>
        <w:spacing w:line="480" w:lineRule="auto"/>
        <w:jc w:val="both"/>
        <w:rPr>
          <w:rFonts w:eastAsia="Calibri Light"/>
        </w:rPr>
      </w:pPr>
    </w:p>
    <w:p w14:paraId="04717A99" w14:textId="2B8ADB62" w:rsidR="005A1372" w:rsidRPr="002454BE" w:rsidRDefault="002454BE" w:rsidP="002454BE">
      <w:pPr>
        <w:spacing w:line="480" w:lineRule="auto"/>
        <w:jc w:val="both"/>
        <w:rPr>
          <w:rFonts w:eastAsia="Calibri Light"/>
        </w:rPr>
      </w:pPr>
      <w:r w:rsidRPr="002454BE">
        <w:rPr>
          <w:rFonts w:eastAsia="Calibri Light"/>
        </w:rPr>
        <w:lastRenderedPageBreak/>
        <w:t>Grupo de Investigación Economía y Desarrollo, GIED: estudia la temática básica de la ‘coyuntura económica, el crecimiento de largo plazo, la productividad sectorial y externa, el marco regulatorio de los procesos económicos, las finanzas en general y la calidad de vida' del Departamento del Valle del Cauca y su capital Cali, inmersa en el entorno nacional e intern</w:t>
      </w:r>
      <w:r w:rsidR="005A1372">
        <w:rPr>
          <w:rFonts w:eastAsia="Calibri Light"/>
        </w:rPr>
        <w:t>acional.</w:t>
      </w:r>
    </w:p>
    <w:p w14:paraId="125557C5" w14:textId="77777777" w:rsidR="002454BE" w:rsidRPr="002454BE" w:rsidRDefault="002454BE" w:rsidP="002454BE">
      <w:pPr>
        <w:spacing w:line="480" w:lineRule="auto"/>
        <w:jc w:val="both"/>
        <w:rPr>
          <w:rFonts w:eastAsia="Calibri Light"/>
        </w:rPr>
      </w:pPr>
    </w:p>
    <w:p w14:paraId="6F14E247" w14:textId="05ED3B4E" w:rsidR="002454BE" w:rsidRPr="002454BE" w:rsidRDefault="002454BE" w:rsidP="002454BE">
      <w:pPr>
        <w:spacing w:line="480" w:lineRule="auto"/>
        <w:jc w:val="both"/>
        <w:rPr>
          <w:rFonts w:eastAsia="Calibri Light"/>
        </w:rPr>
      </w:pPr>
      <w:r w:rsidRPr="002454BE">
        <w:rPr>
          <w:rFonts w:eastAsia="Calibri Light"/>
        </w:rPr>
        <w:t xml:space="preserve">Grupo de Investigación en Ciencias Administrativas, </w:t>
      </w:r>
      <w:proofErr w:type="spellStart"/>
      <w:r w:rsidRPr="002454BE">
        <w:rPr>
          <w:rFonts w:eastAsia="Calibri Light"/>
        </w:rPr>
        <w:t>Gicad</w:t>
      </w:r>
      <w:proofErr w:type="spellEnd"/>
      <w:r w:rsidRPr="002454BE">
        <w:rPr>
          <w:rFonts w:eastAsia="Calibri Light"/>
        </w:rPr>
        <w:t>: contribuye en el campo de la administración, mediante la generación de conocimiento aplicado a las organizaciones y a la gestión competitiva del talento humano, con el fin de responder estratégicamente al desarrollo científico, a la dinámica empresarial y del entorno, conformando y difundiendo una cultura orientada a la calidad y a la productividad, como aporte responsable al progreso social, organizacio</w:t>
      </w:r>
      <w:r w:rsidR="005A1372">
        <w:rPr>
          <w:rFonts w:eastAsia="Calibri Light"/>
        </w:rPr>
        <w:t>nal y de la comunidad académica.</w:t>
      </w:r>
    </w:p>
    <w:p w14:paraId="0F39A319" w14:textId="77777777" w:rsidR="002454BE" w:rsidRPr="002454BE" w:rsidRDefault="002454BE" w:rsidP="002454BE">
      <w:pPr>
        <w:spacing w:line="480" w:lineRule="auto"/>
        <w:jc w:val="both"/>
        <w:rPr>
          <w:rFonts w:eastAsia="Calibri Light"/>
        </w:rPr>
      </w:pPr>
    </w:p>
    <w:p w14:paraId="3132BFBD" w14:textId="77777777" w:rsidR="002454BE" w:rsidRPr="002454BE" w:rsidRDefault="002454BE" w:rsidP="002454BE">
      <w:pPr>
        <w:spacing w:line="480" w:lineRule="auto"/>
        <w:jc w:val="both"/>
        <w:rPr>
          <w:rFonts w:eastAsia="Calibri Light"/>
        </w:rPr>
      </w:pPr>
      <w:r w:rsidRPr="002454BE">
        <w:rPr>
          <w:rFonts w:eastAsia="Calibri Light"/>
        </w:rPr>
        <w:t xml:space="preserve">Grupo de Investigación en Contabilidad y Finanzas, </w:t>
      </w:r>
      <w:proofErr w:type="spellStart"/>
      <w:r w:rsidRPr="002454BE">
        <w:rPr>
          <w:rFonts w:eastAsia="Calibri Light"/>
        </w:rPr>
        <w:t>Gicof</w:t>
      </w:r>
      <w:proofErr w:type="spellEnd"/>
      <w:r w:rsidRPr="002454BE">
        <w:rPr>
          <w:rFonts w:eastAsia="Calibri Light"/>
        </w:rPr>
        <w:t xml:space="preserve">: tiene como misión ser dinamizador de conocimientos en la ciencias contables y financieras mediante el desarrollo de procesos de investigación que </w:t>
      </w:r>
      <w:proofErr w:type="gramStart"/>
      <w:r w:rsidRPr="002454BE">
        <w:rPr>
          <w:rFonts w:eastAsia="Calibri Light"/>
        </w:rPr>
        <w:t>le</w:t>
      </w:r>
      <w:proofErr w:type="gramEnd"/>
      <w:r w:rsidRPr="002454BE">
        <w:rPr>
          <w:rFonts w:eastAsia="Calibri Light"/>
        </w:rPr>
        <w:t xml:space="preserve"> permitan a las empresas, la sociedad y el Estado, tener campos de saberes adecuados a las circunstancias del mundo actual, para que las decisiones que se tomen respecto al manejo de los recursos tengan una alta efectividad y sea generador de riqueza en el entorno global. De igual manera, este grupo debe impulsar la cultura de investigación en la comunidad de la UAO, buscando calidad académica y proyección social. Además, pretende ser reconocido en el entorno global como uno de los principales grupos de </w:t>
      </w:r>
      <w:r w:rsidRPr="002454BE">
        <w:rPr>
          <w:rFonts w:eastAsia="Calibri Light"/>
        </w:rPr>
        <w:lastRenderedPageBreak/>
        <w:t>investigación aportador de conocimientos contables y financieros válidos para el desarrollo empresarial y social del entorno regional (Universidad Autónoma de Occidente).</w:t>
      </w:r>
    </w:p>
    <w:p w14:paraId="02F27E58" w14:textId="77777777" w:rsidR="002454BE" w:rsidRPr="002454BE" w:rsidRDefault="002454BE" w:rsidP="002454BE">
      <w:pPr>
        <w:spacing w:line="480" w:lineRule="auto"/>
        <w:jc w:val="both"/>
        <w:rPr>
          <w:rFonts w:eastAsia="Calibri Light"/>
        </w:rPr>
      </w:pPr>
    </w:p>
    <w:p w14:paraId="7B6B8CB2" w14:textId="4AE808F5" w:rsidR="002454BE" w:rsidRPr="005A1372" w:rsidRDefault="002454BE" w:rsidP="005A1372">
      <w:pPr>
        <w:spacing w:line="480" w:lineRule="auto"/>
        <w:jc w:val="both"/>
        <w:rPr>
          <w:rFonts w:eastAsia="Calibri Light"/>
        </w:rPr>
      </w:pPr>
      <w:r w:rsidRPr="002454BE">
        <w:rPr>
          <w:rFonts w:eastAsia="Calibri Light"/>
        </w:rPr>
        <w:t>Las líneas de investi</w:t>
      </w:r>
      <w:r w:rsidR="005A1372">
        <w:rPr>
          <w:rFonts w:eastAsia="Calibri Light"/>
        </w:rPr>
        <w:t xml:space="preserve">gación son tres, </w:t>
      </w:r>
      <w:r w:rsidR="005A1372" w:rsidRPr="002454BE">
        <w:rPr>
          <w:rFonts w:eastAsia="Calibri Light"/>
        </w:rPr>
        <w:t>Desarrollo financiero</w:t>
      </w:r>
      <w:r w:rsidR="005A1372">
        <w:rPr>
          <w:rFonts w:eastAsia="Calibri Light"/>
        </w:rPr>
        <w:t>, Desarrollo de la contabilidad y Gestión de recursos del estado.</w:t>
      </w:r>
    </w:p>
    <w:p w14:paraId="1626000B" w14:textId="51963C50" w:rsidR="002454BE" w:rsidRDefault="00FD33DA" w:rsidP="00FD33DA">
      <w:pPr>
        <w:pStyle w:val="Ttulo1"/>
        <w:rPr>
          <w:rFonts w:ascii="Times New Roman" w:hAnsi="Times New Roman" w:cs="Times New Roman"/>
          <w:b/>
          <w:color w:val="000000" w:themeColor="text1"/>
          <w:sz w:val="24"/>
        </w:rPr>
      </w:pPr>
      <w:r>
        <w:rPr>
          <w:rFonts w:ascii="Times New Roman" w:hAnsi="Times New Roman" w:cs="Times New Roman"/>
          <w:b/>
          <w:color w:val="000000" w:themeColor="text1"/>
          <w:sz w:val="24"/>
        </w:rPr>
        <w:t>La investigación en la Universidad Autónoma De Madrid</w:t>
      </w:r>
    </w:p>
    <w:p w14:paraId="0EB046B0" w14:textId="02EB426D" w:rsidR="00941434" w:rsidRDefault="00941434" w:rsidP="007A5F4D">
      <w:pPr>
        <w:spacing w:line="480" w:lineRule="auto"/>
        <w:jc w:val="both"/>
        <w:rPr>
          <w:rFonts w:eastAsia="Calibri Light"/>
        </w:rPr>
      </w:pPr>
    </w:p>
    <w:p w14:paraId="73EA8AFC" w14:textId="6E57001F" w:rsidR="002454BE" w:rsidRPr="002454BE" w:rsidRDefault="002454BE" w:rsidP="002454BE">
      <w:pPr>
        <w:spacing w:line="480" w:lineRule="auto"/>
        <w:jc w:val="both"/>
        <w:rPr>
          <w:rFonts w:eastAsia="Calibri Light"/>
        </w:rPr>
      </w:pPr>
      <w:r w:rsidRPr="002454BE">
        <w:rPr>
          <w:rFonts w:eastAsia="Calibri Light"/>
        </w:rPr>
        <w:t>Los investigadores de la Facultad de Ciencias Económicas y Empresariales cuentan con el apoyo financiero proporcionado por las convocatorias anuales de “Ayudas orientadas al Desarrollo y Difusión de las Investigaciones del Personal Docente e Investigador”. El fin de esta convocatoria es estimular que las investigaciones realizadas por miembros del PDI sean publicadas en revistas de reconocido pres</w:t>
      </w:r>
      <w:r w:rsidR="005A1372">
        <w:rPr>
          <w:rFonts w:eastAsia="Calibri Light"/>
        </w:rPr>
        <w:t xml:space="preserve">tigio nacional e internacional </w:t>
      </w:r>
      <w:r w:rsidRPr="002454BE">
        <w:rPr>
          <w:rFonts w:eastAsia="Calibri Light"/>
        </w:rPr>
        <w:t>(Universidad Autónoma de Madrid).</w:t>
      </w:r>
    </w:p>
    <w:p w14:paraId="07E2DF29" w14:textId="77777777" w:rsidR="002454BE" w:rsidRPr="002454BE" w:rsidRDefault="002454BE" w:rsidP="002454BE">
      <w:pPr>
        <w:spacing w:line="480" w:lineRule="auto"/>
        <w:jc w:val="both"/>
        <w:rPr>
          <w:rFonts w:eastAsia="Calibri Light"/>
        </w:rPr>
      </w:pPr>
    </w:p>
    <w:p w14:paraId="2597D3E1" w14:textId="77777777" w:rsidR="002454BE" w:rsidRPr="002454BE" w:rsidRDefault="002454BE" w:rsidP="002454BE">
      <w:pPr>
        <w:spacing w:line="480" w:lineRule="auto"/>
        <w:jc w:val="both"/>
        <w:rPr>
          <w:rFonts w:eastAsia="Calibri Light"/>
        </w:rPr>
      </w:pPr>
      <w:r w:rsidRPr="002454BE">
        <w:rPr>
          <w:rFonts w:eastAsia="Calibri Light"/>
        </w:rPr>
        <w:t xml:space="preserve">Además, existen las ayudas proporcionadas por la Unión Europea, diversos ministerios de la nación, consejerías de las comunidades autónomas (en especial, de la comunidad autónoma de Madrid) y las ayudas propias de la UAM. El servicio de investigación de la UAM se encarga de dar publicidad a todas estas iniciativas. También pueden filtrarse las ayudas, siguiendo diversos criterios, en el portal </w:t>
      </w:r>
      <w:proofErr w:type="spellStart"/>
      <w:proofErr w:type="gramStart"/>
      <w:r w:rsidRPr="002454BE">
        <w:rPr>
          <w:rFonts w:eastAsia="Calibri Light"/>
        </w:rPr>
        <w:t>universia</w:t>
      </w:r>
      <w:proofErr w:type="spellEnd"/>
      <w:r w:rsidRPr="002454BE">
        <w:rPr>
          <w:rFonts w:eastAsia="Calibri Light"/>
        </w:rPr>
        <w:t xml:space="preserve">  (</w:t>
      </w:r>
      <w:proofErr w:type="gramEnd"/>
      <w:r w:rsidRPr="002454BE">
        <w:rPr>
          <w:rFonts w:eastAsia="Calibri Light"/>
        </w:rPr>
        <w:t>Universidad Autónoma de Madrid).</w:t>
      </w:r>
    </w:p>
    <w:p w14:paraId="4CA82A1E" w14:textId="77777777" w:rsidR="002454BE" w:rsidRPr="002454BE" w:rsidRDefault="002454BE" w:rsidP="002454BE">
      <w:pPr>
        <w:spacing w:line="480" w:lineRule="auto"/>
        <w:jc w:val="both"/>
        <w:rPr>
          <w:rFonts w:eastAsia="Calibri Light"/>
        </w:rPr>
      </w:pPr>
    </w:p>
    <w:p w14:paraId="115DCC1E" w14:textId="59B36E6D" w:rsidR="00642161" w:rsidRDefault="002454BE" w:rsidP="002454BE">
      <w:pPr>
        <w:spacing w:line="480" w:lineRule="auto"/>
        <w:jc w:val="both"/>
        <w:rPr>
          <w:rFonts w:eastAsia="Calibri Light"/>
        </w:rPr>
      </w:pPr>
      <w:r w:rsidRPr="002454BE">
        <w:rPr>
          <w:rFonts w:eastAsia="Calibri Light"/>
        </w:rPr>
        <w:t xml:space="preserve">Por último, en la UAM hay también otros servicios e instituciones dedicados a la promoción de la investigación y a la difusión del conocimiento, como la oficina de transferencia de </w:t>
      </w:r>
      <w:r w:rsidRPr="002454BE">
        <w:rPr>
          <w:rFonts w:eastAsia="Calibri Light"/>
        </w:rPr>
        <w:lastRenderedPageBreak/>
        <w:t xml:space="preserve">resultados (OTRI), la fundación de la UAM (FUAM), el servicio de publicaciones de la UAM y el servicio de cultura </w:t>
      </w:r>
      <w:r w:rsidR="005A1372" w:rsidRPr="002454BE">
        <w:rPr>
          <w:rFonts w:eastAsia="Calibri Light"/>
        </w:rPr>
        <w:t>científica (</w:t>
      </w:r>
      <w:r w:rsidRPr="002454BE">
        <w:rPr>
          <w:rFonts w:eastAsia="Calibri Light"/>
        </w:rPr>
        <w:t>Universidad Autónoma de Madrid).</w:t>
      </w:r>
    </w:p>
    <w:p w14:paraId="53A0414F" w14:textId="77777777" w:rsidR="00911F05" w:rsidRPr="002454BE" w:rsidRDefault="00911F05" w:rsidP="002454BE">
      <w:pPr>
        <w:spacing w:line="480" w:lineRule="auto"/>
        <w:jc w:val="both"/>
        <w:rPr>
          <w:rFonts w:eastAsia="Calibri Light"/>
        </w:rPr>
      </w:pPr>
    </w:p>
    <w:p w14:paraId="36EC0635" w14:textId="57A3E1CB" w:rsidR="002454BE" w:rsidRPr="002454BE" w:rsidRDefault="00642161" w:rsidP="00642161">
      <w:pPr>
        <w:spacing w:line="480" w:lineRule="auto"/>
        <w:jc w:val="center"/>
        <w:rPr>
          <w:rFonts w:eastAsia="Calibri Light"/>
        </w:rPr>
      </w:pPr>
      <w:r>
        <w:rPr>
          <w:rFonts w:eastAsia="Calibri Light"/>
        </w:rPr>
        <w:t xml:space="preserve">Tabla 1. </w:t>
      </w:r>
      <w:r w:rsidR="001E6177">
        <w:rPr>
          <w:rFonts w:eastAsia="Calibri Light"/>
        </w:rPr>
        <w:t>Grupos de investigación</w:t>
      </w:r>
    </w:p>
    <w:tbl>
      <w:tblPr>
        <w:tblW w:w="7920" w:type="dxa"/>
        <w:tblInd w:w="-5" w:type="dxa"/>
        <w:tblCellMar>
          <w:left w:w="70" w:type="dxa"/>
          <w:right w:w="70" w:type="dxa"/>
        </w:tblCellMar>
        <w:tblLook w:val="04A0" w:firstRow="1" w:lastRow="0" w:firstColumn="1" w:lastColumn="0" w:noHBand="0" w:noVBand="1"/>
      </w:tblPr>
      <w:tblGrid>
        <w:gridCol w:w="3820"/>
        <w:gridCol w:w="1418"/>
        <w:gridCol w:w="3151"/>
      </w:tblGrid>
      <w:tr w:rsidR="00911F05" w:rsidRPr="00911F05" w14:paraId="10497B41" w14:textId="77777777" w:rsidTr="00911F05">
        <w:trPr>
          <w:trHeight w:val="870"/>
        </w:trPr>
        <w:tc>
          <w:tcPr>
            <w:tcW w:w="382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C4ED10C" w14:textId="77777777" w:rsidR="00911F05" w:rsidRPr="00911F05" w:rsidRDefault="00911F05" w:rsidP="00911F05">
            <w:pPr>
              <w:suppressAutoHyphens w:val="0"/>
              <w:overflowPunct/>
              <w:autoSpaceDE/>
              <w:autoSpaceDN/>
              <w:adjustRightInd/>
              <w:jc w:val="center"/>
              <w:textAlignment w:val="auto"/>
              <w:rPr>
                <w:b/>
                <w:bCs/>
                <w:color w:val="808080"/>
                <w:sz w:val="20"/>
                <w:szCs w:val="20"/>
                <w:lang w:val="es-CO" w:eastAsia="es-CO"/>
              </w:rPr>
            </w:pPr>
            <w:r w:rsidRPr="00911F05">
              <w:rPr>
                <w:b/>
                <w:bCs/>
                <w:iCs/>
                <w:color w:val="808080"/>
                <w:sz w:val="20"/>
                <w:szCs w:val="20"/>
                <w:lang w:eastAsia="es-CO"/>
              </w:rPr>
              <w:t>Grupo de Investigación</w:t>
            </w:r>
          </w:p>
        </w:tc>
        <w:tc>
          <w:tcPr>
            <w:tcW w:w="1920" w:type="dxa"/>
            <w:tcBorders>
              <w:top w:val="single" w:sz="4" w:space="0" w:color="808080"/>
              <w:left w:val="nil"/>
              <w:bottom w:val="single" w:sz="4" w:space="0" w:color="808080"/>
              <w:right w:val="nil"/>
            </w:tcBorders>
            <w:shd w:val="clear" w:color="auto" w:fill="auto"/>
            <w:vAlign w:val="center"/>
            <w:hideMark/>
          </w:tcPr>
          <w:p w14:paraId="06B69C91" w14:textId="77777777" w:rsidR="00911F05" w:rsidRPr="00911F05" w:rsidRDefault="00911F05" w:rsidP="00911F05">
            <w:pPr>
              <w:suppressAutoHyphens w:val="0"/>
              <w:overflowPunct/>
              <w:autoSpaceDE/>
              <w:autoSpaceDN/>
              <w:adjustRightInd/>
              <w:jc w:val="center"/>
              <w:textAlignment w:val="auto"/>
              <w:rPr>
                <w:b/>
                <w:bCs/>
                <w:color w:val="808080"/>
                <w:sz w:val="20"/>
                <w:szCs w:val="20"/>
                <w:lang w:val="es-CO" w:eastAsia="es-CO"/>
              </w:rPr>
            </w:pPr>
            <w:r w:rsidRPr="00911F05">
              <w:rPr>
                <w:b/>
                <w:bCs/>
                <w:iCs/>
                <w:color w:val="808080"/>
                <w:sz w:val="20"/>
                <w:szCs w:val="20"/>
                <w:lang w:eastAsia="es-CO"/>
              </w:rPr>
              <w:t>Coordinadores</w:t>
            </w:r>
          </w:p>
        </w:tc>
        <w:tc>
          <w:tcPr>
            <w:tcW w:w="21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6A12D09" w14:textId="77777777" w:rsidR="00911F05" w:rsidRPr="00911F05" w:rsidRDefault="00911F05" w:rsidP="00911F05">
            <w:pPr>
              <w:suppressAutoHyphens w:val="0"/>
              <w:overflowPunct/>
              <w:autoSpaceDE/>
              <w:autoSpaceDN/>
              <w:adjustRightInd/>
              <w:jc w:val="center"/>
              <w:textAlignment w:val="auto"/>
              <w:rPr>
                <w:b/>
                <w:bCs/>
                <w:color w:val="808080"/>
                <w:sz w:val="20"/>
                <w:szCs w:val="20"/>
                <w:lang w:val="es-CO" w:eastAsia="es-CO"/>
              </w:rPr>
            </w:pPr>
            <w:r w:rsidRPr="00911F05">
              <w:rPr>
                <w:b/>
                <w:bCs/>
                <w:iCs/>
                <w:color w:val="808080"/>
                <w:sz w:val="20"/>
                <w:szCs w:val="20"/>
                <w:lang w:eastAsia="es-CO"/>
              </w:rPr>
              <w:t>Departamentos/Institutos/Cátedras asociadas</w:t>
            </w:r>
          </w:p>
        </w:tc>
      </w:tr>
      <w:tr w:rsidR="00911F05" w:rsidRPr="00911F05" w14:paraId="61E1AB88" w14:textId="77777777" w:rsidTr="00911F05">
        <w:trPr>
          <w:trHeight w:val="510"/>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6E0A1CF1"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Dirección de empresas del sector turismo  -GIDEST-</w:t>
            </w:r>
          </w:p>
        </w:tc>
        <w:tc>
          <w:tcPr>
            <w:tcW w:w="1920" w:type="dxa"/>
            <w:tcBorders>
              <w:top w:val="nil"/>
              <w:left w:val="nil"/>
              <w:bottom w:val="single" w:sz="4" w:space="0" w:color="808080"/>
              <w:right w:val="single" w:sz="4" w:space="0" w:color="808080"/>
            </w:tcBorders>
            <w:shd w:val="clear" w:color="auto" w:fill="auto"/>
            <w:vAlign w:val="center"/>
            <w:hideMark/>
          </w:tcPr>
          <w:p w14:paraId="15052976"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proofErr w:type="spellStart"/>
            <w:r w:rsidRPr="00911F05">
              <w:rPr>
                <w:iCs/>
                <w:color w:val="808080"/>
                <w:sz w:val="20"/>
                <w:szCs w:val="20"/>
                <w:lang w:eastAsia="es-CO"/>
              </w:rPr>
              <w:t>Rodriguez</w:t>
            </w:r>
            <w:proofErr w:type="spellEnd"/>
            <w:r w:rsidRPr="00911F05">
              <w:rPr>
                <w:iCs/>
                <w:color w:val="808080"/>
                <w:sz w:val="20"/>
                <w:szCs w:val="20"/>
                <w:lang w:eastAsia="es-CO"/>
              </w:rPr>
              <w:t xml:space="preserve"> Antón, José Miguel</w:t>
            </w:r>
          </w:p>
        </w:tc>
        <w:tc>
          <w:tcPr>
            <w:tcW w:w="2180" w:type="dxa"/>
            <w:tcBorders>
              <w:top w:val="nil"/>
              <w:left w:val="nil"/>
              <w:bottom w:val="single" w:sz="4" w:space="0" w:color="808080"/>
              <w:right w:val="single" w:sz="4" w:space="0" w:color="808080"/>
            </w:tcBorders>
            <w:shd w:val="clear" w:color="auto" w:fill="auto"/>
            <w:vAlign w:val="center"/>
            <w:hideMark/>
          </w:tcPr>
          <w:p w14:paraId="02145A87"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Organización de Empresas</w:t>
            </w:r>
          </w:p>
        </w:tc>
      </w:tr>
      <w:tr w:rsidR="00911F05" w:rsidRPr="00911F05" w14:paraId="290A861B" w14:textId="77777777" w:rsidTr="00911F05">
        <w:trPr>
          <w:trHeight w:val="510"/>
        </w:trPr>
        <w:tc>
          <w:tcPr>
            <w:tcW w:w="3820" w:type="dxa"/>
            <w:tcBorders>
              <w:top w:val="nil"/>
              <w:left w:val="single" w:sz="4" w:space="0" w:color="808080"/>
              <w:bottom w:val="nil"/>
              <w:right w:val="single" w:sz="4" w:space="0" w:color="808080"/>
            </w:tcBorders>
            <w:shd w:val="clear" w:color="auto" w:fill="auto"/>
            <w:vAlign w:val="center"/>
            <w:hideMark/>
          </w:tcPr>
          <w:p w14:paraId="297E6CFB"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hyperlink r:id="rId16" w:history="1">
              <w:r w:rsidRPr="00911F05">
                <w:rPr>
                  <w:color w:val="808080"/>
                  <w:sz w:val="20"/>
                  <w:szCs w:val="20"/>
                  <w:lang w:eastAsia="es-CO"/>
                </w:rPr>
                <w:t>Investigación sobre comportamiento de consumidor y nuevas tecnologías</w:t>
              </w:r>
            </w:hyperlink>
          </w:p>
        </w:tc>
        <w:tc>
          <w:tcPr>
            <w:tcW w:w="1920" w:type="dxa"/>
            <w:vMerge w:val="restart"/>
            <w:tcBorders>
              <w:top w:val="nil"/>
              <w:left w:val="nil"/>
              <w:bottom w:val="single" w:sz="4" w:space="0" w:color="808080"/>
              <w:right w:val="single" w:sz="4" w:space="0" w:color="808080"/>
            </w:tcBorders>
            <w:shd w:val="clear" w:color="auto" w:fill="auto"/>
            <w:vAlign w:val="center"/>
            <w:hideMark/>
          </w:tcPr>
          <w:p w14:paraId="7227AB3A"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 xml:space="preserve">Gómez Suárez, </w:t>
            </w:r>
            <w:proofErr w:type="spellStart"/>
            <w:r w:rsidRPr="00911F05">
              <w:rPr>
                <w:iCs/>
                <w:color w:val="808080"/>
                <w:sz w:val="20"/>
                <w:szCs w:val="20"/>
                <w:lang w:eastAsia="es-CO"/>
              </w:rPr>
              <w:t>Monica</w:t>
            </w:r>
            <w:proofErr w:type="spellEnd"/>
          </w:p>
        </w:tc>
        <w:tc>
          <w:tcPr>
            <w:tcW w:w="2180"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76E0CC4C"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Financiación e Investigación Comercial</w:t>
            </w:r>
          </w:p>
        </w:tc>
      </w:tr>
      <w:tr w:rsidR="00911F05" w:rsidRPr="00911F05" w14:paraId="6D6652B5" w14:textId="77777777" w:rsidTr="00911F05">
        <w:trPr>
          <w:trHeight w:val="300"/>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13C79573"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hyperlink r:id="rId17" w:history="1">
              <w:r w:rsidRPr="00911F05">
                <w:rPr>
                  <w:color w:val="808080"/>
                  <w:sz w:val="20"/>
                  <w:szCs w:val="20"/>
                  <w:lang w:val="es-CO" w:eastAsia="es-CO"/>
                </w:rPr>
                <w:t>- TECHNOCONS -</w:t>
              </w:r>
            </w:hyperlink>
          </w:p>
        </w:tc>
        <w:tc>
          <w:tcPr>
            <w:tcW w:w="1920" w:type="dxa"/>
            <w:vMerge/>
            <w:tcBorders>
              <w:top w:val="nil"/>
              <w:left w:val="nil"/>
              <w:bottom w:val="single" w:sz="4" w:space="0" w:color="808080"/>
              <w:right w:val="single" w:sz="4" w:space="0" w:color="808080"/>
            </w:tcBorders>
            <w:vAlign w:val="center"/>
            <w:hideMark/>
          </w:tcPr>
          <w:p w14:paraId="6ABD15DF"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p>
        </w:tc>
        <w:tc>
          <w:tcPr>
            <w:tcW w:w="2180" w:type="dxa"/>
            <w:vMerge/>
            <w:tcBorders>
              <w:top w:val="nil"/>
              <w:left w:val="single" w:sz="4" w:space="0" w:color="808080"/>
              <w:bottom w:val="single" w:sz="4" w:space="0" w:color="808080"/>
              <w:right w:val="single" w:sz="4" w:space="0" w:color="808080"/>
            </w:tcBorders>
            <w:vAlign w:val="center"/>
            <w:hideMark/>
          </w:tcPr>
          <w:p w14:paraId="72FCF595"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p>
        </w:tc>
      </w:tr>
      <w:tr w:rsidR="00911F05" w:rsidRPr="00911F05" w14:paraId="709E2411" w14:textId="77777777" w:rsidTr="00911F05">
        <w:trPr>
          <w:trHeight w:val="765"/>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097FD415"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 xml:space="preserve">La Responsabilidad Social Corporativa: Análisis de la Productividad Global y nuevo </w:t>
            </w:r>
            <w:proofErr w:type="spellStart"/>
            <w:r w:rsidRPr="00911F05">
              <w:rPr>
                <w:iCs/>
                <w:color w:val="808080"/>
                <w:sz w:val="20"/>
                <w:szCs w:val="20"/>
                <w:lang w:eastAsia="es-CO"/>
              </w:rPr>
              <w:t>Reporting</w:t>
            </w:r>
            <w:proofErr w:type="spellEnd"/>
            <w:r w:rsidRPr="00911F05">
              <w:rPr>
                <w:iCs/>
                <w:color w:val="808080"/>
                <w:sz w:val="20"/>
                <w:szCs w:val="20"/>
                <w:lang w:eastAsia="es-CO"/>
              </w:rPr>
              <w:t xml:space="preserve"> Corporativo</w:t>
            </w:r>
          </w:p>
        </w:tc>
        <w:tc>
          <w:tcPr>
            <w:tcW w:w="1920" w:type="dxa"/>
            <w:tcBorders>
              <w:top w:val="nil"/>
              <w:left w:val="nil"/>
              <w:bottom w:val="single" w:sz="4" w:space="0" w:color="808080"/>
              <w:right w:val="nil"/>
            </w:tcBorders>
            <w:shd w:val="clear" w:color="auto" w:fill="auto"/>
            <w:vAlign w:val="center"/>
            <w:hideMark/>
          </w:tcPr>
          <w:p w14:paraId="07F7D384"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proofErr w:type="spellStart"/>
            <w:r w:rsidRPr="00911F05">
              <w:rPr>
                <w:iCs/>
                <w:color w:val="808080"/>
                <w:sz w:val="20"/>
                <w:szCs w:val="20"/>
                <w:lang w:eastAsia="es-CO"/>
              </w:rPr>
              <w:t>Gutierrez</w:t>
            </w:r>
            <w:proofErr w:type="spellEnd"/>
            <w:r w:rsidRPr="00911F05">
              <w:rPr>
                <w:iCs/>
                <w:color w:val="808080"/>
                <w:sz w:val="20"/>
                <w:szCs w:val="20"/>
                <w:lang w:eastAsia="es-CO"/>
              </w:rPr>
              <w:t xml:space="preserve"> Ponce, </w:t>
            </w:r>
            <w:proofErr w:type="spellStart"/>
            <w:r w:rsidRPr="00911F05">
              <w:rPr>
                <w:iCs/>
                <w:color w:val="808080"/>
                <w:sz w:val="20"/>
                <w:szCs w:val="20"/>
                <w:lang w:eastAsia="es-CO"/>
              </w:rPr>
              <w:t>Herenia</w:t>
            </w:r>
            <w:proofErr w:type="spellEnd"/>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497A3709"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Contabilidad</w:t>
            </w:r>
          </w:p>
        </w:tc>
      </w:tr>
      <w:tr w:rsidR="00911F05" w:rsidRPr="00911F05" w14:paraId="2F575BFC" w14:textId="77777777" w:rsidTr="00911F05">
        <w:trPr>
          <w:trHeight w:val="510"/>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7DDA8B2C"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hyperlink r:id="rId18" w:history="1">
              <w:r w:rsidRPr="00911F05">
                <w:rPr>
                  <w:color w:val="808080"/>
                  <w:sz w:val="20"/>
                  <w:szCs w:val="20"/>
                  <w:lang w:eastAsia="es-CO"/>
                </w:rPr>
                <w:t>Socio-economía del trabajo  - SET-LASE -</w:t>
              </w:r>
            </w:hyperlink>
          </w:p>
        </w:tc>
        <w:tc>
          <w:tcPr>
            <w:tcW w:w="1920" w:type="dxa"/>
            <w:tcBorders>
              <w:top w:val="nil"/>
              <w:left w:val="nil"/>
              <w:bottom w:val="single" w:sz="4" w:space="0" w:color="808080"/>
              <w:right w:val="nil"/>
            </w:tcBorders>
            <w:shd w:val="clear" w:color="auto" w:fill="auto"/>
            <w:vAlign w:val="center"/>
            <w:hideMark/>
          </w:tcPr>
          <w:p w14:paraId="4419FF82"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proofErr w:type="spellStart"/>
            <w:r w:rsidRPr="00911F05">
              <w:rPr>
                <w:iCs/>
                <w:color w:val="808080"/>
                <w:sz w:val="20"/>
                <w:szCs w:val="20"/>
                <w:lang w:eastAsia="es-CO"/>
              </w:rPr>
              <w:t>Ruesga</w:t>
            </w:r>
            <w:proofErr w:type="spellEnd"/>
            <w:r w:rsidRPr="00911F05">
              <w:rPr>
                <w:iCs/>
                <w:color w:val="808080"/>
                <w:sz w:val="20"/>
                <w:szCs w:val="20"/>
                <w:lang w:eastAsia="es-CO"/>
              </w:rPr>
              <w:t xml:space="preserve"> Benito, Santos Miguel</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346C070D"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Estructura Económica y Economía del Desarrollo</w:t>
            </w:r>
          </w:p>
        </w:tc>
      </w:tr>
      <w:tr w:rsidR="00911F05" w:rsidRPr="00911F05" w14:paraId="2BEF5E08" w14:textId="77777777" w:rsidTr="00911F05">
        <w:trPr>
          <w:trHeight w:val="510"/>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4570995B"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hyperlink r:id="rId19" w:history="1">
              <w:r w:rsidRPr="00911F05">
                <w:rPr>
                  <w:color w:val="808080"/>
                  <w:sz w:val="20"/>
                  <w:szCs w:val="20"/>
                  <w:lang w:eastAsia="es-CO"/>
                </w:rPr>
                <w:t>Economía Regional y Espacial  -ECONRES-</w:t>
              </w:r>
            </w:hyperlink>
          </w:p>
        </w:tc>
        <w:tc>
          <w:tcPr>
            <w:tcW w:w="1920" w:type="dxa"/>
            <w:tcBorders>
              <w:top w:val="nil"/>
              <w:left w:val="nil"/>
              <w:bottom w:val="single" w:sz="4" w:space="0" w:color="808080"/>
              <w:right w:val="nil"/>
            </w:tcBorders>
            <w:shd w:val="clear" w:color="auto" w:fill="auto"/>
            <w:vAlign w:val="center"/>
            <w:hideMark/>
          </w:tcPr>
          <w:p w14:paraId="0BB8047D"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 xml:space="preserve">Chasco </w:t>
            </w:r>
            <w:proofErr w:type="spellStart"/>
            <w:r w:rsidRPr="00911F05">
              <w:rPr>
                <w:iCs/>
                <w:color w:val="808080"/>
                <w:sz w:val="20"/>
                <w:szCs w:val="20"/>
                <w:lang w:eastAsia="es-CO"/>
              </w:rPr>
              <w:t>Yrigoyen</w:t>
            </w:r>
            <w:proofErr w:type="spellEnd"/>
            <w:r w:rsidRPr="00911F05">
              <w:rPr>
                <w:iCs/>
                <w:color w:val="808080"/>
                <w:sz w:val="20"/>
                <w:szCs w:val="20"/>
                <w:lang w:eastAsia="es-CO"/>
              </w:rPr>
              <w:t>, María del Coro</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2D90ED61"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Economía Aplicada</w:t>
            </w:r>
          </w:p>
        </w:tc>
      </w:tr>
      <w:tr w:rsidR="00911F05" w:rsidRPr="00911F05" w14:paraId="64534C0F" w14:textId="77777777" w:rsidTr="00911F05">
        <w:trPr>
          <w:trHeight w:val="510"/>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18F730CD"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Finanzas, Mercados y Gobierno Corporativo  -FIMEGO-</w:t>
            </w:r>
          </w:p>
        </w:tc>
        <w:tc>
          <w:tcPr>
            <w:tcW w:w="1920" w:type="dxa"/>
            <w:tcBorders>
              <w:top w:val="nil"/>
              <w:left w:val="nil"/>
              <w:bottom w:val="single" w:sz="4" w:space="0" w:color="808080"/>
              <w:right w:val="nil"/>
            </w:tcBorders>
            <w:shd w:val="clear" w:color="auto" w:fill="auto"/>
            <w:vAlign w:val="center"/>
            <w:hideMark/>
          </w:tcPr>
          <w:p w14:paraId="5E17DE6B"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Andrés Alonso, Pablo de</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54BCA6AE"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Financiación e Investigación Comercial</w:t>
            </w:r>
          </w:p>
        </w:tc>
      </w:tr>
      <w:tr w:rsidR="00911F05" w:rsidRPr="00911F05" w14:paraId="05C8B814" w14:textId="77777777" w:rsidTr="00911F05">
        <w:trPr>
          <w:trHeight w:val="1005"/>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6A99B609"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hyperlink r:id="rId20" w:history="1">
              <w:r w:rsidRPr="00911F05">
                <w:rPr>
                  <w:color w:val="808080"/>
                  <w:sz w:val="20"/>
                  <w:szCs w:val="20"/>
                  <w:lang w:eastAsia="es-CO"/>
                </w:rPr>
                <w:t>Investigación Multidisciplinar sobre Propiedad Industrial, Empresa y Comercio  -IBC GROUP-</w:t>
              </w:r>
            </w:hyperlink>
          </w:p>
        </w:tc>
        <w:tc>
          <w:tcPr>
            <w:tcW w:w="1920" w:type="dxa"/>
            <w:tcBorders>
              <w:top w:val="nil"/>
              <w:left w:val="nil"/>
              <w:bottom w:val="single" w:sz="4" w:space="0" w:color="808080"/>
              <w:right w:val="nil"/>
            </w:tcBorders>
            <w:shd w:val="clear" w:color="auto" w:fill="auto"/>
            <w:vAlign w:val="center"/>
            <w:hideMark/>
          </w:tcPr>
          <w:p w14:paraId="25E96843"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Saiz González, José Patricio</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0651A8E3"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Análisis Económico: Teoría Económica e Historia Económica</w:t>
            </w:r>
          </w:p>
        </w:tc>
      </w:tr>
      <w:tr w:rsidR="00911F05" w:rsidRPr="00911F05" w14:paraId="751AB217" w14:textId="77777777" w:rsidTr="00911F05">
        <w:trPr>
          <w:trHeight w:val="300"/>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004A7FCE"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Investigación Cualitativa en Salud  -GIQS-</w:t>
            </w:r>
          </w:p>
        </w:tc>
        <w:tc>
          <w:tcPr>
            <w:tcW w:w="1920" w:type="dxa"/>
            <w:tcBorders>
              <w:top w:val="nil"/>
              <w:left w:val="nil"/>
              <w:bottom w:val="single" w:sz="4" w:space="0" w:color="808080"/>
              <w:right w:val="nil"/>
            </w:tcBorders>
            <w:shd w:val="clear" w:color="auto" w:fill="auto"/>
            <w:vAlign w:val="center"/>
            <w:hideMark/>
          </w:tcPr>
          <w:p w14:paraId="4515BF94"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Zarco Colón, Juan</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6E635E04"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Sociología</w:t>
            </w:r>
          </w:p>
        </w:tc>
      </w:tr>
      <w:tr w:rsidR="00911F05" w:rsidRPr="00911F05" w14:paraId="4C6E235D" w14:textId="77777777" w:rsidTr="00911F05">
        <w:trPr>
          <w:trHeight w:val="765"/>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1C2F1943"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Estudios sobre trabajo consumo y ciudadanía  -ETC-</w:t>
            </w:r>
          </w:p>
        </w:tc>
        <w:tc>
          <w:tcPr>
            <w:tcW w:w="1920" w:type="dxa"/>
            <w:tcBorders>
              <w:top w:val="nil"/>
              <w:left w:val="nil"/>
              <w:bottom w:val="single" w:sz="4" w:space="0" w:color="808080"/>
              <w:right w:val="nil"/>
            </w:tcBorders>
            <w:shd w:val="clear" w:color="auto" w:fill="auto"/>
            <w:vAlign w:val="center"/>
            <w:hideMark/>
          </w:tcPr>
          <w:p w14:paraId="55E8F163"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Alonso Benito, Luis Enrique; Ibáñez Rojo, Rafael</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648138D5"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Sociología</w:t>
            </w:r>
          </w:p>
        </w:tc>
      </w:tr>
      <w:tr w:rsidR="00911F05" w:rsidRPr="00911F05" w14:paraId="7680ADAC" w14:textId="77777777" w:rsidTr="00911F05">
        <w:trPr>
          <w:trHeight w:val="510"/>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384F7469"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Marketing del Entretenimiento  -MKENT-</w:t>
            </w:r>
          </w:p>
        </w:tc>
        <w:tc>
          <w:tcPr>
            <w:tcW w:w="1920" w:type="dxa"/>
            <w:tcBorders>
              <w:top w:val="nil"/>
              <w:left w:val="nil"/>
              <w:bottom w:val="single" w:sz="4" w:space="0" w:color="808080"/>
              <w:right w:val="nil"/>
            </w:tcBorders>
            <w:shd w:val="clear" w:color="auto" w:fill="auto"/>
            <w:vAlign w:val="center"/>
            <w:hideMark/>
          </w:tcPr>
          <w:p w14:paraId="5B31C0E0"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 xml:space="preserve">Redondo </w:t>
            </w:r>
            <w:proofErr w:type="spellStart"/>
            <w:r w:rsidRPr="00911F05">
              <w:rPr>
                <w:iCs/>
                <w:color w:val="808080"/>
                <w:sz w:val="20"/>
                <w:szCs w:val="20"/>
                <w:lang w:eastAsia="es-CO"/>
              </w:rPr>
              <w:t>Bellón</w:t>
            </w:r>
            <w:proofErr w:type="spellEnd"/>
            <w:r w:rsidRPr="00911F05">
              <w:rPr>
                <w:iCs/>
                <w:color w:val="808080"/>
                <w:sz w:val="20"/>
                <w:szCs w:val="20"/>
                <w:lang w:eastAsia="es-CO"/>
              </w:rPr>
              <w:t>, Ignacio</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1EC13E53"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Financiación e Investigación Comercial</w:t>
            </w:r>
          </w:p>
        </w:tc>
      </w:tr>
      <w:tr w:rsidR="00911F05" w:rsidRPr="00911F05" w14:paraId="262C0011" w14:textId="77777777" w:rsidTr="00911F05">
        <w:trPr>
          <w:trHeight w:val="765"/>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4193902D"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Información Financiera Corporativa en Europa: incentivos, normas contables y mercado de capitales  -HARMONIA-</w:t>
            </w:r>
          </w:p>
        </w:tc>
        <w:tc>
          <w:tcPr>
            <w:tcW w:w="1920" w:type="dxa"/>
            <w:tcBorders>
              <w:top w:val="nil"/>
              <w:left w:val="nil"/>
              <w:bottom w:val="single" w:sz="4" w:space="0" w:color="808080"/>
              <w:right w:val="nil"/>
            </w:tcBorders>
            <w:shd w:val="clear" w:color="auto" w:fill="auto"/>
            <w:vAlign w:val="center"/>
            <w:hideMark/>
          </w:tcPr>
          <w:p w14:paraId="550EEF61"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proofErr w:type="spellStart"/>
            <w:r w:rsidRPr="00911F05">
              <w:rPr>
                <w:iCs/>
                <w:color w:val="808080"/>
                <w:sz w:val="20"/>
                <w:szCs w:val="20"/>
                <w:lang w:eastAsia="es-CO"/>
              </w:rPr>
              <w:t>Cañibano</w:t>
            </w:r>
            <w:proofErr w:type="spellEnd"/>
            <w:r w:rsidRPr="00911F05">
              <w:rPr>
                <w:iCs/>
                <w:color w:val="808080"/>
                <w:sz w:val="20"/>
                <w:szCs w:val="20"/>
                <w:lang w:eastAsia="es-CO"/>
              </w:rPr>
              <w:t xml:space="preserve"> Calvo, Leandro; Gómez, Jacobo</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39023EB2"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Contabilidad</w:t>
            </w:r>
          </w:p>
        </w:tc>
      </w:tr>
      <w:tr w:rsidR="00911F05" w:rsidRPr="00911F05" w14:paraId="1FA6CF44" w14:textId="77777777" w:rsidTr="00911F05">
        <w:trPr>
          <w:trHeight w:val="510"/>
        </w:trPr>
        <w:tc>
          <w:tcPr>
            <w:tcW w:w="3820" w:type="dxa"/>
            <w:tcBorders>
              <w:top w:val="nil"/>
              <w:left w:val="single" w:sz="4" w:space="0" w:color="808080"/>
              <w:bottom w:val="single" w:sz="4" w:space="0" w:color="808080"/>
              <w:right w:val="single" w:sz="4" w:space="0" w:color="808080"/>
            </w:tcBorders>
            <w:shd w:val="clear" w:color="auto" w:fill="auto"/>
            <w:noWrap/>
            <w:vAlign w:val="center"/>
            <w:hideMark/>
          </w:tcPr>
          <w:p w14:paraId="010B5802"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Economía de la Educación  -ECONEDU-</w:t>
            </w:r>
          </w:p>
        </w:tc>
        <w:tc>
          <w:tcPr>
            <w:tcW w:w="1920" w:type="dxa"/>
            <w:tcBorders>
              <w:top w:val="nil"/>
              <w:left w:val="nil"/>
              <w:bottom w:val="single" w:sz="4" w:space="0" w:color="808080"/>
              <w:right w:val="nil"/>
            </w:tcBorders>
            <w:shd w:val="clear" w:color="auto" w:fill="auto"/>
            <w:vAlign w:val="center"/>
            <w:hideMark/>
          </w:tcPr>
          <w:p w14:paraId="2B3BF14F"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Salinas Jiménez, Francisco Javier</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35A54076"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Economía y Hacienda Pública</w:t>
            </w:r>
          </w:p>
        </w:tc>
      </w:tr>
      <w:tr w:rsidR="00911F05" w:rsidRPr="00911F05" w14:paraId="00FEC25C" w14:textId="77777777" w:rsidTr="00911F05">
        <w:trPr>
          <w:trHeight w:val="1530"/>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5D6A1E25"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hyperlink r:id="rId21" w:history="1">
              <w:r w:rsidRPr="00911F05">
                <w:rPr>
                  <w:color w:val="808080"/>
                  <w:sz w:val="20"/>
                  <w:szCs w:val="20"/>
                  <w:lang w:eastAsia="es-CO"/>
                </w:rPr>
                <w:t>Universidad y Sociedad   -SOCYUN-</w:t>
              </w:r>
            </w:hyperlink>
          </w:p>
        </w:tc>
        <w:tc>
          <w:tcPr>
            <w:tcW w:w="1920" w:type="dxa"/>
            <w:tcBorders>
              <w:top w:val="nil"/>
              <w:left w:val="nil"/>
              <w:bottom w:val="single" w:sz="4" w:space="0" w:color="808080"/>
              <w:right w:val="nil"/>
            </w:tcBorders>
            <w:shd w:val="clear" w:color="auto" w:fill="auto"/>
            <w:vAlign w:val="center"/>
            <w:hideMark/>
          </w:tcPr>
          <w:p w14:paraId="4B13655B"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proofErr w:type="spellStart"/>
            <w:r w:rsidRPr="00911F05">
              <w:rPr>
                <w:iCs/>
                <w:color w:val="808080"/>
                <w:sz w:val="20"/>
                <w:szCs w:val="20"/>
                <w:lang w:eastAsia="es-CO"/>
              </w:rPr>
              <w:t>Sanchez</w:t>
            </w:r>
            <w:proofErr w:type="spellEnd"/>
            <w:r w:rsidRPr="00911F05">
              <w:rPr>
                <w:iCs/>
                <w:color w:val="808080"/>
                <w:sz w:val="20"/>
                <w:szCs w:val="20"/>
                <w:lang w:eastAsia="es-CO"/>
              </w:rPr>
              <w:t xml:space="preserve"> Fernández, Flor</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42242DD3"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Organización de Empresas; Economía y Hacienda Pública; Contabilidad; Psicología Social y metodología; Física Aplicada</w:t>
            </w:r>
          </w:p>
        </w:tc>
      </w:tr>
      <w:tr w:rsidR="00911F05" w:rsidRPr="00911F05" w14:paraId="7C34E450" w14:textId="77777777" w:rsidTr="00911F05">
        <w:trPr>
          <w:trHeight w:val="510"/>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4872FA92"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La fiscalidad y su relación con diversos factores de crecimiento económico</w:t>
            </w:r>
          </w:p>
        </w:tc>
        <w:tc>
          <w:tcPr>
            <w:tcW w:w="1920" w:type="dxa"/>
            <w:tcBorders>
              <w:top w:val="nil"/>
              <w:left w:val="nil"/>
              <w:bottom w:val="single" w:sz="4" w:space="0" w:color="808080"/>
              <w:right w:val="nil"/>
            </w:tcBorders>
            <w:shd w:val="clear" w:color="auto" w:fill="auto"/>
            <w:vAlign w:val="center"/>
            <w:hideMark/>
          </w:tcPr>
          <w:p w14:paraId="7E0380E3"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 xml:space="preserve">Cárdenas </w:t>
            </w:r>
            <w:proofErr w:type="spellStart"/>
            <w:r w:rsidRPr="00911F05">
              <w:rPr>
                <w:iCs/>
                <w:color w:val="808080"/>
                <w:sz w:val="20"/>
                <w:szCs w:val="20"/>
                <w:lang w:eastAsia="es-CO"/>
              </w:rPr>
              <w:t>Cárdenas</w:t>
            </w:r>
            <w:proofErr w:type="spellEnd"/>
            <w:r w:rsidRPr="00911F05">
              <w:rPr>
                <w:iCs/>
                <w:color w:val="808080"/>
                <w:sz w:val="20"/>
                <w:szCs w:val="20"/>
                <w:lang w:eastAsia="es-CO"/>
              </w:rPr>
              <w:t>, Gilberto</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67748590"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Economía y Hacienda Pública</w:t>
            </w:r>
          </w:p>
        </w:tc>
      </w:tr>
      <w:tr w:rsidR="00911F05" w:rsidRPr="00911F05" w14:paraId="14DB2958" w14:textId="77777777" w:rsidTr="00911F05">
        <w:trPr>
          <w:trHeight w:val="765"/>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1427CCB2"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Instituciones y Crecimiento Económico en la Edad Moderna  - GICEM-</w:t>
            </w:r>
          </w:p>
        </w:tc>
        <w:tc>
          <w:tcPr>
            <w:tcW w:w="1920" w:type="dxa"/>
            <w:tcBorders>
              <w:top w:val="nil"/>
              <w:left w:val="nil"/>
              <w:bottom w:val="single" w:sz="4" w:space="0" w:color="808080"/>
              <w:right w:val="nil"/>
            </w:tcBorders>
            <w:shd w:val="clear" w:color="auto" w:fill="auto"/>
            <w:vAlign w:val="center"/>
            <w:hideMark/>
          </w:tcPr>
          <w:p w14:paraId="55E4976A"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Lanza García, Ramón</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3D9193AD"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Análisis Económico: Teoría Económica e Historia Económica</w:t>
            </w:r>
          </w:p>
        </w:tc>
      </w:tr>
      <w:tr w:rsidR="00911F05" w:rsidRPr="00911F05" w14:paraId="64359FFB" w14:textId="77777777" w:rsidTr="00911F05">
        <w:trPr>
          <w:trHeight w:val="765"/>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36CDD21C"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Análisis del Cambio Familiar</w:t>
            </w:r>
          </w:p>
        </w:tc>
        <w:tc>
          <w:tcPr>
            <w:tcW w:w="1920" w:type="dxa"/>
            <w:tcBorders>
              <w:top w:val="nil"/>
              <w:left w:val="nil"/>
              <w:bottom w:val="single" w:sz="4" w:space="0" w:color="808080"/>
              <w:right w:val="nil"/>
            </w:tcBorders>
            <w:shd w:val="clear" w:color="auto" w:fill="auto"/>
            <w:vAlign w:val="center"/>
            <w:hideMark/>
          </w:tcPr>
          <w:p w14:paraId="11025E68"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proofErr w:type="spellStart"/>
            <w:r w:rsidRPr="00911F05">
              <w:rPr>
                <w:iCs/>
                <w:color w:val="808080"/>
                <w:sz w:val="20"/>
                <w:szCs w:val="20"/>
                <w:lang w:eastAsia="es-CO"/>
              </w:rPr>
              <w:t>Meil</w:t>
            </w:r>
            <w:proofErr w:type="spellEnd"/>
            <w:r w:rsidRPr="00911F05">
              <w:rPr>
                <w:iCs/>
                <w:color w:val="808080"/>
                <w:sz w:val="20"/>
                <w:szCs w:val="20"/>
                <w:lang w:eastAsia="es-CO"/>
              </w:rPr>
              <w:t xml:space="preserve"> </w:t>
            </w:r>
            <w:proofErr w:type="spellStart"/>
            <w:r w:rsidRPr="00911F05">
              <w:rPr>
                <w:iCs/>
                <w:color w:val="808080"/>
                <w:sz w:val="20"/>
                <w:szCs w:val="20"/>
                <w:lang w:eastAsia="es-CO"/>
              </w:rPr>
              <w:t>Landwerlin</w:t>
            </w:r>
            <w:proofErr w:type="spellEnd"/>
            <w:r w:rsidRPr="00911F05">
              <w:rPr>
                <w:iCs/>
                <w:color w:val="808080"/>
                <w:sz w:val="20"/>
                <w:szCs w:val="20"/>
                <w:lang w:eastAsia="es-CO"/>
              </w:rPr>
              <w:t xml:space="preserve">, Gerardo; </w:t>
            </w:r>
            <w:proofErr w:type="spellStart"/>
            <w:r w:rsidRPr="00911F05">
              <w:rPr>
                <w:iCs/>
                <w:color w:val="808080"/>
                <w:sz w:val="20"/>
                <w:szCs w:val="20"/>
                <w:lang w:eastAsia="es-CO"/>
              </w:rPr>
              <w:t>Rogero</w:t>
            </w:r>
            <w:proofErr w:type="spellEnd"/>
            <w:r w:rsidRPr="00911F05">
              <w:rPr>
                <w:iCs/>
                <w:color w:val="808080"/>
                <w:sz w:val="20"/>
                <w:szCs w:val="20"/>
                <w:lang w:eastAsia="es-CO"/>
              </w:rPr>
              <w:t xml:space="preserve"> García, Jesús</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22EC7447"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Sociología</w:t>
            </w:r>
          </w:p>
        </w:tc>
      </w:tr>
      <w:tr w:rsidR="00911F05" w:rsidRPr="00911F05" w14:paraId="2795CFB6" w14:textId="77777777" w:rsidTr="00911F05">
        <w:trPr>
          <w:trHeight w:val="1020"/>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7847585E"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hyperlink r:id="rId22" w:history="1">
              <w:r w:rsidRPr="00911F05">
                <w:rPr>
                  <w:color w:val="808080"/>
                  <w:sz w:val="20"/>
                  <w:szCs w:val="20"/>
                  <w:lang w:eastAsia="es-CO"/>
                </w:rPr>
                <w:t>Investigación en Economía y Gestión de la Innovación  -UAM- INEGI-</w:t>
              </w:r>
            </w:hyperlink>
          </w:p>
        </w:tc>
        <w:tc>
          <w:tcPr>
            <w:tcW w:w="1920" w:type="dxa"/>
            <w:tcBorders>
              <w:top w:val="nil"/>
              <w:left w:val="nil"/>
              <w:bottom w:val="single" w:sz="4" w:space="0" w:color="808080"/>
              <w:right w:val="nil"/>
            </w:tcBorders>
            <w:shd w:val="clear" w:color="auto" w:fill="auto"/>
            <w:vAlign w:val="center"/>
            <w:hideMark/>
          </w:tcPr>
          <w:p w14:paraId="6415F579"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proofErr w:type="spellStart"/>
            <w:r w:rsidRPr="00911F05">
              <w:rPr>
                <w:iCs/>
                <w:color w:val="808080"/>
                <w:sz w:val="20"/>
                <w:szCs w:val="20"/>
                <w:lang w:eastAsia="es-CO"/>
              </w:rPr>
              <w:t>Sanchez</w:t>
            </w:r>
            <w:proofErr w:type="spellEnd"/>
            <w:r w:rsidRPr="00911F05">
              <w:rPr>
                <w:iCs/>
                <w:color w:val="808080"/>
                <w:sz w:val="20"/>
                <w:szCs w:val="20"/>
                <w:lang w:eastAsia="es-CO"/>
              </w:rPr>
              <w:t xml:space="preserve"> Muñoz, Paloma</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39770F61"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Estructura Económica y Economía del desarrollo. Análisis económico: Economía Cuantitativa</w:t>
            </w:r>
          </w:p>
        </w:tc>
      </w:tr>
      <w:tr w:rsidR="00911F05" w:rsidRPr="00911F05" w14:paraId="33E29EAA" w14:textId="77777777" w:rsidTr="00911F05">
        <w:trPr>
          <w:trHeight w:val="1275"/>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394E39EE"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Economía y desarrollo sostenible  -ECODESS-</w:t>
            </w:r>
          </w:p>
        </w:tc>
        <w:tc>
          <w:tcPr>
            <w:tcW w:w="1920" w:type="dxa"/>
            <w:tcBorders>
              <w:top w:val="nil"/>
              <w:left w:val="nil"/>
              <w:bottom w:val="single" w:sz="4" w:space="0" w:color="808080"/>
              <w:right w:val="nil"/>
            </w:tcBorders>
            <w:shd w:val="clear" w:color="auto" w:fill="auto"/>
            <w:vAlign w:val="center"/>
            <w:hideMark/>
          </w:tcPr>
          <w:p w14:paraId="09113DE0"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proofErr w:type="spellStart"/>
            <w:r w:rsidRPr="00911F05">
              <w:rPr>
                <w:iCs/>
                <w:color w:val="808080"/>
                <w:sz w:val="20"/>
                <w:szCs w:val="20"/>
                <w:lang w:eastAsia="es-CO"/>
              </w:rPr>
              <w:t>Olmedillas</w:t>
            </w:r>
            <w:proofErr w:type="spellEnd"/>
            <w:r w:rsidRPr="00911F05">
              <w:rPr>
                <w:iCs/>
                <w:color w:val="808080"/>
                <w:sz w:val="20"/>
                <w:szCs w:val="20"/>
                <w:lang w:eastAsia="es-CO"/>
              </w:rPr>
              <w:t xml:space="preserve"> Blanco, Blanca; Fernández </w:t>
            </w:r>
            <w:proofErr w:type="spellStart"/>
            <w:r w:rsidRPr="00911F05">
              <w:rPr>
                <w:iCs/>
                <w:color w:val="808080"/>
                <w:sz w:val="20"/>
                <w:szCs w:val="20"/>
                <w:lang w:eastAsia="es-CO"/>
              </w:rPr>
              <w:t>Fernández</w:t>
            </w:r>
            <w:proofErr w:type="spellEnd"/>
            <w:r w:rsidRPr="00911F05">
              <w:rPr>
                <w:iCs/>
                <w:color w:val="808080"/>
                <w:sz w:val="20"/>
                <w:szCs w:val="20"/>
                <w:lang w:eastAsia="es-CO"/>
              </w:rPr>
              <w:t>, Yolanda</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757F68C1"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Análisis Económico: Teoría Económica e Historia Económica. Estructura Económica y Economía del Desarrollo</w:t>
            </w:r>
          </w:p>
        </w:tc>
      </w:tr>
      <w:tr w:rsidR="00911F05" w:rsidRPr="00911F05" w14:paraId="089B9A99" w14:textId="77777777" w:rsidTr="00911F05">
        <w:trPr>
          <w:trHeight w:val="765"/>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17ED9EA0"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Marketing: Experiencia del consumidor y marca  - MARKCONSUM-</w:t>
            </w:r>
          </w:p>
        </w:tc>
        <w:tc>
          <w:tcPr>
            <w:tcW w:w="1920" w:type="dxa"/>
            <w:tcBorders>
              <w:top w:val="nil"/>
              <w:left w:val="nil"/>
              <w:bottom w:val="single" w:sz="4" w:space="0" w:color="808080"/>
              <w:right w:val="nil"/>
            </w:tcBorders>
            <w:shd w:val="clear" w:color="auto" w:fill="auto"/>
            <w:vAlign w:val="center"/>
            <w:hideMark/>
          </w:tcPr>
          <w:p w14:paraId="11EB22D0"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 xml:space="preserve">Campo </w:t>
            </w:r>
            <w:proofErr w:type="spellStart"/>
            <w:r w:rsidRPr="00911F05">
              <w:rPr>
                <w:iCs/>
                <w:color w:val="808080"/>
                <w:sz w:val="20"/>
                <w:szCs w:val="20"/>
                <w:lang w:eastAsia="es-CO"/>
              </w:rPr>
              <w:t>Martinez</w:t>
            </w:r>
            <w:proofErr w:type="spellEnd"/>
            <w:r w:rsidRPr="00911F05">
              <w:rPr>
                <w:iCs/>
                <w:color w:val="808080"/>
                <w:sz w:val="20"/>
                <w:szCs w:val="20"/>
                <w:lang w:eastAsia="es-CO"/>
              </w:rPr>
              <w:t>, Sara;  Rubio Benito, Natalia María</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04A3525E"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Financiación e Investigación Comercial</w:t>
            </w:r>
          </w:p>
        </w:tc>
      </w:tr>
      <w:tr w:rsidR="00911F05" w:rsidRPr="00911F05" w14:paraId="6C2B71A3" w14:textId="77777777" w:rsidTr="00911F05">
        <w:trPr>
          <w:trHeight w:val="765"/>
        </w:trPr>
        <w:tc>
          <w:tcPr>
            <w:tcW w:w="3820" w:type="dxa"/>
            <w:tcBorders>
              <w:top w:val="nil"/>
              <w:left w:val="single" w:sz="4" w:space="0" w:color="808080"/>
              <w:bottom w:val="single" w:sz="4" w:space="0" w:color="808080"/>
              <w:right w:val="single" w:sz="4" w:space="0" w:color="808080"/>
            </w:tcBorders>
            <w:shd w:val="clear" w:color="auto" w:fill="auto"/>
            <w:vAlign w:val="center"/>
            <w:hideMark/>
          </w:tcPr>
          <w:p w14:paraId="548686C5"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hyperlink r:id="rId23" w:history="1">
              <w:r w:rsidRPr="00911F05">
                <w:rPr>
                  <w:color w:val="808080"/>
                  <w:sz w:val="20"/>
                  <w:szCs w:val="20"/>
                  <w:lang w:eastAsia="es-CO"/>
                </w:rPr>
                <w:t>Estudio de las Transformaciones de la Economía Mundial  - GETEM-</w:t>
              </w:r>
            </w:hyperlink>
          </w:p>
        </w:tc>
        <w:tc>
          <w:tcPr>
            <w:tcW w:w="1920" w:type="dxa"/>
            <w:tcBorders>
              <w:top w:val="nil"/>
              <w:left w:val="nil"/>
              <w:bottom w:val="single" w:sz="4" w:space="0" w:color="808080"/>
              <w:right w:val="nil"/>
            </w:tcBorders>
            <w:shd w:val="clear" w:color="auto" w:fill="auto"/>
            <w:vAlign w:val="center"/>
            <w:hideMark/>
          </w:tcPr>
          <w:p w14:paraId="47ED0D55"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 xml:space="preserve">Sánchez Díez, María de los </w:t>
            </w:r>
            <w:proofErr w:type="spellStart"/>
            <w:r w:rsidRPr="00911F05">
              <w:rPr>
                <w:iCs/>
                <w:color w:val="808080"/>
                <w:sz w:val="20"/>
                <w:szCs w:val="20"/>
                <w:lang w:eastAsia="es-CO"/>
              </w:rPr>
              <w:t>Angeles</w:t>
            </w:r>
            <w:proofErr w:type="spellEnd"/>
            <w:r w:rsidRPr="00911F05">
              <w:rPr>
                <w:iCs/>
                <w:color w:val="808080"/>
                <w:sz w:val="20"/>
                <w:szCs w:val="20"/>
                <w:lang w:eastAsia="es-CO"/>
              </w:rPr>
              <w:t>; García de la Cruz, J. Manuel</w:t>
            </w:r>
          </w:p>
        </w:tc>
        <w:tc>
          <w:tcPr>
            <w:tcW w:w="2180" w:type="dxa"/>
            <w:tcBorders>
              <w:top w:val="nil"/>
              <w:left w:val="single" w:sz="4" w:space="0" w:color="808080"/>
              <w:bottom w:val="single" w:sz="4" w:space="0" w:color="808080"/>
              <w:right w:val="single" w:sz="4" w:space="0" w:color="808080"/>
            </w:tcBorders>
            <w:shd w:val="clear" w:color="auto" w:fill="auto"/>
            <w:vAlign w:val="center"/>
            <w:hideMark/>
          </w:tcPr>
          <w:p w14:paraId="6C254094" w14:textId="77777777" w:rsidR="00911F05" w:rsidRPr="00911F05" w:rsidRDefault="00911F05" w:rsidP="00911F05">
            <w:pPr>
              <w:suppressAutoHyphens w:val="0"/>
              <w:overflowPunct/>
              <w:autoSpaceDE/>
              <w:autoSpaceDN/>
              <w:adjustRightInd/>
              <w:textAlignment w:val="auto"/>
              <w:rPr>
                <w:color w:val="808080"/>
                <w:sz w:val="20"/>
                <w:szCs w:val="20"/>
                <w:lang w:val="es-CO" w:eastAsia="es-CO"/>
              </w:rPr>
            </w:pPr>
            <w:r w:rsidRPr="00911F05">
              <w:rPr>
                <w:iCs/>
                <w:color w:val="808080"/>
                <w:sz w:val="20"/>
                <w:szCs w:val="20"/>
                <w:lang w:eastAsia="es-CO"/>
              </w:rPr>
              <w:t>Estructura Económica y Economía del Desarrollo</w:t>
            </w:r>
          </w:p>
        </w:tc>
      </w:tr>
    </w:tbl>
    <w:p w14:paraId="1E70D684" w14:textId="397BFD74" w:rsidR="00DC1375" w:rsidRDefault="002454BE" w:rsidP="00911F05">
      <w:pPr>
        <w:spacing w:line="480" w:lineRule="auto"/>
        <w:jc w:val="both"/>
        <w:rPr>
          <w:rFonts w:eastAsia="Calibri Light"/>
          <w:i/>
        </w:rPr>
      </w:pPr>
      <w:r w:rsidRPr="00911F05">
        <w:rPr>
          <w:rFonts w:eastAsia="Calibri Light"/>
          <w:i/>
        </w:rPr>
        <w:t xml:space="preserve">Fuente: </w:t>
      </w:r>
      <w:hyperlink r:id="rId24" w:history="1">
        <w:r w:rsidR="00911F05" w:rsidRPr="00C15CDB">
          <w:rPr>
            <w:rStyle w:val="Hipervnculo"/>
            <w:rFonts w:eastAsia="Calibri Light"/>
            <w:i/>
          </w:rPr>
          <w:t>https://www.uam.es/Economicas/Home/1234888110107.htm?language=es</w:t>
        </w:r>
      </w:hyperlink>
    </w:p>
    <w:p w14:paraId="17178124" w14:textId="77777777" w:rsidR="00911F05" w:rsidRPr="00911F05" w:rsidRDefault="00911F05" w:rsidP="00911F05">
      <w:pPr>
        <w:spacing w:line="480" w:lineRule="auto"/>
        <w:jc w:val="both"/>
        <w:rPr>
          <w:rFonts w:eastAsia="Calibri Light"/>
          <w:i/>
        </w:rPr>
      </w:pPr>
    </w:p>
    <w:p w14:paraId="34F8C167" w14:textId="3728912F" w:rsidR="001E6177" w:rsidRPr="00FD33DA" w:rsidRDefault="00FD33DA" w:rsidP="001E6177">
      <w:pPr>
        <w:tabs>
          <w:tab w:val="left" w:pos="3690"/>
        </w:tabs>
        <w:spacing w:line="480" w:lineRule="auto"/>
        <w:jc w:val="both"/>
        <w:rPr>
          <w:rFonts w:eastAsia="Calibri Light"/>
          <w:b/>
        </w:rPr>
      </w:pPr>
      <w:r w:rsidRPr="00FD33DA">
        <w:rPr>
          <w:rFonts w:eastAsia="Calibri Light"/>
          <w:b/>
        </w:rPr>
        <w:t>7.3. Análisis sobre la percepción que tienen los estudiantes y docentes frente a la investigación formativa en el programa de contaduría pública</w:t>
      </w:r>
      <w:r>
        <w:rPr>
          <w:rFonts w:eastAsia="Calibri Light"/>
          <w:b/>
        </w:rPr>
        <w:t xml:space="preserve"> de la UAO</w:t>
      </w:r>
      <w:r w:rsidRPr="00FD33DA">
        <w:rPr>
          <w:rFonts w:eastAsia="Calibri Light"/>
          <w:b/>
        </w:rPr>
        <w:t>.</w:t>
      </w:r>
    </w:p>
    <w:p w14:paraId="3CE9617D" w14:textId="7B6D4061" w:rsidR="001E6177" w:rsidRDefault="001E6177" w:rsidP="001E6177">
      <w:pPr>
        <w:tabs>
          <w:tab w:val="left" w:pos="3690"/>
        </w:tabs>
        <w:spacing w:line="480" w:lineRule="auto"/>
        <w:jc w:val="both"/>
        <w:rPr>
          <w:rFonts w:eastAsia="Calibri Light"/>
        </w:rPr>
      </w:pPr>
      <w:r>
        <w:rPr>
          <w:rFonts w:eastAsia="Calibri Light"/>
        </w:rPr>
        <w:t>En construcción…</w:t>
      </w:r>
      <w:r w:rsidR="00FD33DA">
        <w:rPr>
          <w:rFonts w:eastAsia="Calibri Light"/>
        </w:rPr>
        <w:t xml:space="preserve"> Se están aplicando encuestas a profesores, estudiantes y egresados.</w:t>
      </w:r>
    </w:p>
    <w:p w14:paraId="294BD176" w14:textId="77777777" w:rsidR="00FD33DA" w:rsidRPr="007A5F4D" w:rsidRDefault="00FD33DA" w:rsidP="001E6177">
      <w:pPr>
        <w:tabs>
          <w:tab w:val="left" w:pos="3690"/>
        </w:tabs>
        <w:spacing w:line="480" w:lineRule="auto"/>
        <w:jc w:val="both"/>
        <w:rPr>
          <w:rFonts w:eastAsia="Calibri Light"/>
        </w:rPr>
      </w:pPr>
    </w:p>
    <w:p w14:paraId="01055A77" w14:textId="6024913D" w:rsidR="00FD1813" w:rsidRPr="007A5F4D" w:rsidRDefault="007A5F4D" w:rsidP="007A5F4D">
      <w:pPr>
        <w:spacing w:line="480" w:lineRule="auto"/>
        <w:jc w:val="center"/>
        <w:rPr>
          <w:rFonts w:eastAsia="Calibri Light"/>
          <w:b/>
        </w:rPr>
      </w:pPr>
      <w:r>
        <w:rPr>
          <w:rFonts w:eastAsia="Calibri Light"/>
          <w:b/>
        </w:rPr>
        <w:lastRenderedPageBreak/>
        <w:t>C</w:t>
      </w:r>
      <w:r w:rsidR="005A1372">
        <w:rPr>
          <w:rFonts w:eastAsia="Calibri Light"/>
          <w:b/>
        </w:rPr>
        <w:t>onclusiones</w:t>
      </w:r>
    </w:p>
    <w:p w14:paraId="410BAD2B" w14:textId="77777777" w:rsidR="005A1372" w:rsidRDefault="005A1372" w:rsidP="005A1372">
      <w:pPr>
        <w:widowControl w:val="0"/>
        <w:spacing w:line="480" w:lineRule="auto"/>
        <w:ind w:right="-93" w:firstLine="708"/>
        <w:jc w:val="both"/>
        <w:rPr>
          <w:iCs/>
        </w:rPr>
      </w:pPr>
      <w:r>
        <w:rPr>
          <w:iCs/>
        </w:rPr>
        <w:t>De acuerdo con los avances de la</w:t>
      </w:r>
      <w:r w:rsidR="00FD1813" w:rsidRPr="007A5F4D">
        <w:rPr>
          <w:iCs/>
        </w:rPr>
        <w:t xml:space="preserve"> investigación realizada se concluye que se hace necesario estimular la producción investigativa en todos los campos, familiarizando a los jóvenes con diferentes temáticas que </w:t>
      </w:r>
      <w:r w:rsidR="007A5F4D" w:rsidRPr="007A5F4D">
        <w:rPr>
          <w:iCs/>
        </w:rPr>
        <w:t>les</w:t>
      </w:r>
      <w:r w:rsidR="00FD1813" w:rsidRPr="007A5F4D">
        <w:rPr>
          <w:iCs/>
        </w:rPr>
        <w:t xml:space="preserve"> aporten a sus procesos, sean o no direccionadas al área de interés, que participen de seminarios tras-disciplinares, que generen contacto social, cultural e histórico de una manera realmente interesante en el que se forje el interés propio.</w:t>
      </w:r>
      <w:bookmarkStart w:id="6" w:name="_Toc40973841"/>
      <w:r w:rsidR="00831D4D">
        <w:rPr>
          <w:iCs/>
        </w:rPr>
        <w:t xml:space="preserve"> </w:t>
      </w:r>
    </w:p>
    <w:p w14:paraId="17C0226C" w14:textId="4705B55E" w:rsidR="00831D4D" w:rsidRDefault="00831D4D" w:rsidP="005A1372">
      <w:pPr>
        <w:widowControl w:val="0"/>
        <w:spacing w:line="480" w:lineRule="auto"/>
        <w:ind w:right="-93" w:firstLine="708"/>
        <w:jc w:val="both"/>
        <w:rPr>
          <w:iCs/>
        </w:rPr>
      </w:pPr>
      <w:r w:rsidRPr="008D7E5B">
        <w:rPr>
          <w:iCs/>
        </w:rPr>
        <w:t xml:space="preserve">Cabe resaltar que tanto como en España y Colombia se ha evidenciado el progreso de investigaciones contables, es importante que se forje aún más la relación entre docentes y estudiantes, que los jóvenes puedan sentirse apoyados e impulsados a conocer y experimentar en el área investigativa nuevos campos de la carrera. </w:t>
      </w:r>
    </w:p>
    <w:p w14:paraId="45C6AEB3" w14:textId="77777777" w:rsidR="00831D4D" w:rsidRDefault="00831D4D" w:rsidP="00831D4D">
      <w:pPr>
        <w:widowControl w:val="0"/>
        <w:spacing w:line="480" w:lineRule="auto"/>
        <w:ind w:right="-93"/>
        <w:jc w:val="both"/>
        <w:rPr>
          <w:iCs/>
        </w:rPr>
      </w:pPr>
    </w:p>
    <w:p w14:paraId="1B43A280" w14:textId="69DFB243" w:rsidR="00831D4D" w:rsidRPr="008D7E5B" w:rsidRDefault="00831D4D" w:rsidP="005A1372">
      <w:pPr>
        <w:widowControl w:val="0"/>
        <w:spacing w:line="480" w:lineRule="auto"/>
        <w:ind w:right="-93" w:firstLine="708"/>
        <w:jc w:val="both"/>
        <w:rPr>
          <w:iCs/>
        </w:rPr>
      </w:pPr>
      <w:r>
        <w:rPr>
          <w:iCs/>
        </w:rPr>
        <w:t xml:space="preserve">La investigación </w:t>
      </w:r>
      <w:r w:rsidRPr="008D7E5B">
        <w:rPr>
          <w:iCs/>
        </w:rPr>
        <w:t>como componente fundamental de la formación de la comunidad del Programa de Contaduría Pública, fomenta la consolidación de una cultura investigativa que debe ser promovida con el necesario énfasis, por parte de todos los docentes vinculados al Programa; ellos deben aportar a los procesos de investigación desde el primer semestre, sumando las miradas de las disciplinas de cada uno de los cursos bajo su orientación.</w:t>
      </w:r>
    </w:p>
    <w:p w14:paraId="64DB1AEE" w14:textId="64B727FA" w:rsidR="00831D4D" w:rsidRDefault="00831D4D" w:rsidP="00E67BBC">
      <w:pPr>
        <w:spacing w:line="480" w:lineRule="auto"/>
        <w:rPr>
          <w:iCs/>
        </w:rPr>
      </w:pPr>
    </w:p>
    <w:p w14:paraId="61857DAE" w14:textId="59337093" w:rsidR="00911F05" w:rsidRDefault="00911F05" w:rsidP="00E67BBC">
      <w:pPr>
        <w:spacing w:line="480" w:lineRule="auto"/>
        <w:rPr>
          <w:iCs/>
        </w:rPr>
      </w:pPr>
    </w:p>
    <w:p w14:paraId="2572949D" w14:textId="37BC2360" w:rsidR="00911F05" w:rsidRDefault="00911F05" w:rsidP="00E67BBC">
      <w:pPr>
        <w:spacing w:line="480" w:lineRule="auto"/>
        <w:rPr>
          <w:iCs/>
        </w:rPr>
      </w:pPr>
    </w:p>
    <w:p w14:paraId="47A5F9A2" w14:textId="45669AF0" w:rsidR="00911F05" w:rsidRDefault="00911F05" w:rsidP="00E67BBC">
      <w:pPr>
        <w:spacing w:line="480" w:lineRule="auto"/>
        <w:rPr>
          <w:iCs/>
        </w:rPr>
      </w:pPr>
    </w:p>
    <w:p w14:paraId="0C52AFEC" w14:textId="5B33B631" w:rsidR="00911F05" w:rsidRDefault="00911F05" w:rsidP="00E67BBC">
      <w:pPr>
        <w:spacing w:line="480" w:lineRule="auto"/>
        <w:rPr>
          <w:iCs/>
        </w:rPr>
      </w:pPr>
    </w:p>
    <w:p w14:paraId="69E15E40" w14:textId="77777777" w:rsidR="00911F05" w:rsidRDefault="00911F05" w:rsidP="00E67BBC">
      <w:pPr>
        <w:spacing w:line="480" w:lineRule="auto"/>
        <w:rPr>
          <w:iCs/>
        </w:rPr>
      </w:pPr>
      <w:bookmarkStart w:id="7" w:name="_GoBack"/>
      <w:bookmarkEnd w:id="7"/>
    </w:p>
    <w:p w14:paraId="2F1E379F" w14:textId="0F02BCD0" w:rsidR="000441BB" w:rsidRPr="007A5F4D" w:rsidRDefault="000441BB" w:rsidP="007A5F4D">
      <w:pPr>
        <w:spacing w:line="480" w:lineRule="auto"/>
        <w:jc w:val="center"/>
        <w:rPr>
          <w:iCs/>
        </w:rPr>
      </w:pPr>
      <w:r w:rsidRPr="005F09CC">
        <w:rPr>
          <w:b/>
          <w:color w:val="000000" w:themeColor="text1"/>
        </w:rPr>
        <w:lastRenderedPageBreak/>
        <w:t>Referencias Bibliográficas</w:t>
      </w:r>
      <w:bookmarkEnd w:id="6"/>
    </w:p>
    <w:p w14:paraId="3548908D" w14:textId="77777777" w:rsidR="000441BB" w:rsidRPr="005F09CC" w:rsidRDefault="000441BB" w:rsidP="005F09CC"/>
    <w:p w14:paraId="3BDE3722" w14:textId="77777777" w:rsidR="000441BB" w:rsidRPr="005F09CC" w:rsidRDefault="000441BB" w:rsidP="005F09CC">
      <w:pPr>
        <w:widowControl w:val="0"/>
        <w:spacing w:before="216"/>
        <w:ind w:left="968" w:right="379" w:hanging="708"/>
        <w:rPr>
          <w:color w:val="545454"/>
          <w:lang w:val="es-ES"/>
        </w:rPr>
      </w:pPr>
      <w:r w:rsidRPr="005F09CC">
        <w:rPr>
          <w:color w:val="545454"/>
          <w:lang w:val="es-ES"/>
        </w:rPr>
        <w:t xml:space="preserve">Dolz, J. (2016) La oferta formativa en postgrados oficiales en el ámbito financiero, contable y fiscal en España. Caracterización de los perfiles más demandados. (Tesis de maestría) Universitat Politécnica de Valencia, Valencia, España. Consultado el 24 de marzo del 2020, en </w:t>
      </w:r>
      <w:hyperlink r:id="rId25" w:history="1">
        <w:r w:rsidRPr="005F09CC">
          <w:rPr>
            <w:rStyle w:val="Hipervnculo"/>
          </w:rPr>
          <w:t>https://riunet.upv.es/bitstream/handle/10251/71957/ANDREU%20-%20La%20oferta%20formativa%20en%20postgrados%20oficiales%20en%20el%20%C3%A1mbito%20financiero%2C%20contable%20y%20fiscal%20e....pdf?sequence=1</w:t>
        </w:r>
      </w:hyperlink>
    </w:p>
    <w:p w14:paraId="56F5D8E2" w14:textId="77777777" w:rsidR="000441BB" w:rsidRPr="005F09CC" w:rsidRDefault="000441BB" w:rsidP="005F09CC">
      <w:pPr>
        <w:widowControl w:val="0"/>
        <w:spacing w:before="216"/>
        <w:ind w:left="968" w:right="379" w:hanging="708"/>
        <w:rPr>
          <w:color w:val="545454"/>
          <w:lang w:val="es-ES"/>
        </w:rPr>
      </w:pPr>
      <w:r w:rsidRPr="005F09CC">
        <w:rPr>
          <w:color w:val="545454"/>
          <w:lang w:val="es-ES"/>
        </w:rPr>
        <w:t xml:space="preserve">Bautista, J. (2012) Contabilidad y educación: la apuesta de la Universidad Santo Tomás. Revista </w:t>
      </w:r>
      <w:r w:rsidRPr="005F09CC">
        <w:rPr>
          <w:i/>
          <w:color w:val="545454"/>
          <w:lang w:val="es-ES"/>
        </w:rPr>
        <w:t>Activos</w:t>
      </w:r>
      <w:r w:rsidRPr="005F09CC">
        <w:rPr>
          <w:color w:val="545454"/>
          <w:lang w:val="es-ES"/>
        </w:rPr>
        <w:t xml:space="preserve">. Vol. 10 No. 19, pp 11-12. Consultado el 27 de marzo del 2020, en </w:t>
      </w:r>
      <w:hyperlink r:id="rId26" w:history="1">
        <w:r w:rsidRPr="005F09CC">
          <w:rPr>
            <w:rStyle w:val="Hipervnculo"/>
          </w:rPr>
          <w:t>https://revistas.usantotomas.edu.co/index.php/activos/article/view/1758</w:t>
        </w:r>
      </w:hyperlink>
    </w:p>
    <w:p w14:paraId="308E4585" w14:textId="77777777" w:rsidR="000441BB" w:rsidRPr="005F09CC" w:rsidRDefault="000441BB" w:rsidP="005F09CC">
      <w:pPr>
        <w:widowControl w:val="0"/>
        <w:spacing w:before="216"/>
        <w:ind w:left="968" w:right="379" w:hanging="708"/>
        <w:rPr>
          <w:color w:val="545454"/>
          <w:lang w:val="es-ES"/>
        </w:rPr>
      </w:pPr>
      <w:r w:rsidRPr="005F09CC">
        <w:rPr>
          <w:color w:val="545454"/>
          <w:lang w:val="es-ES"/>
        </w:rPr>
        <w:t xml:space="preserve">Robles, F. (2011) Producción académica sobre educación contable en Colombia 2000-2009: incidencia de la pedagogía crítica. </w:t>
      </w:r>
      <w:r w:rsidRPr="005F09CC">
        <w:rPr>
          <w:i/>
          <w:color w:val="545454"/>
          <w:lang w:val="es-ES"/>
        </w:rPr>
        <w:t xml:space="preserve">Lúmina Revista iberoamericana de Contabilidad, Administración y Economía, </w:t>
      </w:r>
      <w:r w:rsidRPr="005F09CC">
        <w:rPr>
          <w:color w:val="545454"/>
          <w:lang w:val="es-ES"/>
        </w:rPr>
        <w:t xml:space="preserve">Facultad de Ciencias Contables, Económicas y Administrativas, Universidad de Manizales., Vol. 0 (12), pp 172-195. Consultado el 24 de marzo del 2020, en </w:t>
      </w:r>
      <w:hyperlink r:id="rId27" w:history="1">
        <w:r w:rsidRPr="005F09CC">
          <w:rPr>
            <w:rStyle w:val="Hipervnculo"/>
          </w:rPr>
          <w:t>file:///C:/Users/Usuario/Downloads/698-Texto%20del%20art%C3%ADculo-3343-1-10-20150303%20(1).pdf</w:t>
        </w:r>
      </w:hyperlink>
    </w:p>
    <w:p w14:paraId="5D0DDCFA" w14:textId="77777777" w:rsidR="000441BB" w:rsidRPr="005F09CC" w:rsidRDefault="000441BB" w:rsidP="005F09CC">
      <w:pPr>
        <w:widowControl w:val="0"/>
        <w:spacing w:before="216"/>
        <w:ind w:left="968" w:right="379" w:hanging="708"/>
        <w:rPr>
          <w:color w:val="545454"/>
        </w:rPr>
      </w:pPr>
      <w:r w:rsidRPr="005F09CC">
        <w:rPr>
          <w:color w:val="545454"/>
        </w:rPr>
        <w:t>Muñoz López, S. M., Ruiz Rojas, G. A., &amp; Sarmiento Ramírez, H. J. (2015). Didácticas para la formación en investigación contable: una discusión crítica de las prácticas de enseñanza. </w:t>
      </w:r>
      <w:r w:rsidRPr="005F09CC">
        <w:rPr>
          <w:i/>
          <w:iCs/>
          <w:color w:val="545454"/>
        </w:rPr>
        <w:t>Revista Facultad De Ciencias Económicas</w:t>
      </w:r>
      <w:r w:rsidRPr="005F09CC">
        <w:rPr>
          <w:color w:val="545454"/>
        </w:rPr>
        <w:t>, </w:t>
      </w:r>
      <w:r w:rsidRPr="005F09CC">
        <w:rPr>
          <w:i/>
          <w:iCs/>
          <w:color w:val="545454"/>
        </w:rPr>
        <w:t>23</w:t>
      </w:r>
      <w:r w:rsidRPr="005F09CC">
        <w:rPr>
          <w:color w:val="545454"/>
        </w:rPr>
        <w:t xml:space="preserve">(1), 53-86. Consultado el 06 de abril del 2020, en </w:t>
      </w:r>
      <w:hyperlink r:id="rId28" w:history="1">
        <w:r w:rsidRPr="005F09CC">
          <w:rPr>
            <w:rStyle w:val="Hipervnculo"/>
          </w:rPr>
          <w:t>http://www.scielo.org.co/pdf/rfce/v23n1/v23n1a04.pdf</w:t>
        </w:r>
      </w:hyperlink>
    </w:p>
    <w:p w14:paraId="77E33E9B" w14:textId="77777777" w:rsidR="000441BB" w:rsidRPr="005F09CC" w:rsidRDefault="000441BB" w:rsidP="005F09CC">
      <w:pPr>
        <w:widowControl w:val="0"/>
        <w:spacing w:before="216"/>
        <w:ind w:left="968" w:right="379" w:hanging="708"/>
        <w:rPr>
          <w:rStyle w:val="Hipervnculo"/>
          <w:lang w:val="es-ES"/>
        </w:rPr>
      </w:pPr>
      <w:r w:rsidRPr="005F09CC">
        <w:rPr>
          <w:color w:val="545454"/>
          <w:lang w:val="es-ES"/>
        </w:rPr>
        <w:t>Burgos, J., Bonisoli, L. (2016): “La investigación contable un aporte predictivo para las finanzas empresariales: competencias y razonabilidad para su tratamiento</w:t>
      </w:r>
      <w:r w:rsidRPr="005F09CC">
        <w:rPr>
          <w:i/>
          <w:color w:val="545454"/>
          <w:lang w:val="es-ES"/>
        </w:rPr>
        <w:t>”, Revista Caribeña de Ciencias Sociales</w:t>
      </w:r>
      <w:r w:rsidRPr="005F09CC">
        <w:rPr>
          <w:color w:val="545454"/>
          <w:lang w:val="es-ES"/>
        </w:rPr>
        <w:t xml:space="preserve">. Consultado el 06 de abril del 2020, en </w:t>
      </w:r>
      <w:hyperlink r:id="rId29" w:history="1">
        <w:r w:rsidRPr="005F09CC">
          <w:rPr>
            <w:rStyle w:val="Hipervnculo"/>
            <w:lang w:val="es-ES"/>
          </w:rPr>
          <w:t>http://www.eumed.net/rev/caribe/2016/06/investigacion.html</w:t>
        </w:r>
      </w:hyperlink>
    </w:p>
    <w:p w14:paraId="63E5ADB4" w14:textId="77777777" w:rsidR="000441BB" w:rsidRPr="005F09CC" w:rsidRDefault="000441BB" w:rsidP="005F09CC">
      <w:pPr>
        <w:widowControl w:val="0"/>
        <w:spacing w:before="216"/>
        <w:ind w:left="968" w:right="379" w:hanging="708"/>
        <w:rPr>
          <w:color w:val="545454"/>
          <w:lang w:val="es-ES"/>
        </w:rPr>
      </w:pPr>
    </w:p>
    <w:p w14:paraId="760C982B" w14:textId="77777777" w:rsidR="00617221" w:rsidRPr="005F09CC" w:rsidRDefault="00617221" w:rsidP="005F09CC">
      <w:pPr>
        <w:pStyle w:val="Default"/>
        <w:rPr>
          <w:rFonts w:ascii="Times New Roman" w:hAnsi="Times New Roman" w:cs="Times New Roman"/>
        </w:rPr>
      </w:pPr>
    </w:p>
    <w:sectPr w:rsidR="00617221" w:rsidRPr="005F09CC" w:rsidSect="00E22E4D">
      <w:headerReference w:type="default" r:id="rId30"/>
      <w:footerReference w:type="default" r:id="rId31"/>
      <w:pgSz w:w="12240" w:h="15840" w:code="1"/>
      <w:pgMar w:top="1701" w:right="1701" w:bottom="1701" w:left="1701"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425BB" w14:textId="77777777" w:rsidR="00CE52D1" w:rsidRDefault="00CE52D1" w:rsidP="00A00A81">
      <w:r>
        <w:separator/>
      </w:r>
    </w:p>
  </w:endnote>
  <w:endnote w:type="continuationSeparator" w:id="0">
    <w:p w14:paraId="60A292D4" w14:textId="77777777" w:rsidR="00CE52D1" w:rsidRDefault="00CE52D1" w:rsidP="00A0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8FE3" w14:textId="77777777" w:rsidR="001936E7" w:rsidRDefault="001936E7" w:rsidP="003355F8">
    <w:pPr>
      <w:tabs>
        <w:tab w:val="center" w:pos="4252"/>
        <w:tab w:val="right" w:pos="8504"/>
      </w:tabs>
      <w:suppressAutoHyphens w:val="0"/>
      <w:overflowPunct/>
      <w:autoSpaceDE/>
      <w:autoSpaceDN/>
      <w:adjustRightInd/>
      <w:jc w:val="center"/>
      <w:textAlignment w:val="auto"/>
      <w:rPr>
        <w:rFonts w:eastAsiaTheme="minorEastAsia"/>
        <w:i/>
        <w:sz w:val="20"/>
        <w:szCs w:val="20"/>
        <w:lang w:val="es-CO" w:eastAsia="es-CO"/>
      </w:rPr>
    </w:pPr>
  </w:p>
  <w:p w14:paraId="056EDA62" w14:textId="53D690CB" w:rsidR="00E009DF" w:rsidRDefault="00F202D6" w:rsidP="003355F8">
    <w:pPr>
      <w:tabs>
        <w:tab w:val="center" w:pos="4252"/>
        <w:tab w:val="right" w:pos="8504"/>
      </w:tabs>
      <w:suppressAutoHyphens w:val="0"/>
      <w:overflowPunct/>
      <w:autoSpaceDE/>
      <w:autoSpaceDN/>
      <w:adjustRightInd/>
      <w:jc w:val="center"/>
      <w:textAlignment w:val="auto"/>
      <w:rPr>
        <w:rFonts w:eastAsiaTheme="minorEastAsia"/>
        <w:i/>
        <w:sz w:val="20"/>
        <w:szCs w:val="20"/>
        <w:lang w:val="es-CO" w:eastAsia="es-CO"/>
      </w:rPr>
    </w:pPr>
    <w:r>
      <w:rPr>
        <w:rFonts w:eastAsiaTheme="minorEastAsia"/>
        <w:i/>
        <w:sz w:val="20"/>
        <w:szCs w:val="20"/>
        <w:lang w:val="es-CO" w:eastAsia="es-CO"/>
      </w:rPr>
      <w:t xml:space="preserve">Contaduría Pública </w:t>
    </w:r>
    <w:r w:rsidR="004D460C" w:rsidRPr="00F202D6">
      <w:rPr>
        <w:rFonts w:eastAsiaTheme="minorEastAsia"/>
        <w:i/>
        <w:sz w:val="20"/>
        <w:szCs w:val="20"/>
        <w:lang w:val="es-CO" w:eastAsia="es-CO"/>
      </w:rPr>
      <w:t xml:space="preserve"> </w:t>
    </w:r>
  </w:p>
  <w:p w14:paraId="61299554" w14:textId="1F0C5B47" w:rsidR="00F202D6" w:rsidRDefault="00F202D6" w:rsidP="003355F8">
    <w:pPr>
      <w:tabs>
        <w:tab w:val="center" w:pos="4252"/>
        <w:tab w:val="right" w:pos="8504"/>
      </w:tabs>
      <w:suppressAutoHyphens w:val="0"/>
      <w:overflowPunct/>
      <w:autoSpaceDE/>
      <w:autoSpaceDN/>
      <w:adjustRightInd/>
      <w:jc w:val="center"/>
      <w:textAlignment w:val="auto"/>
      <w:rPr>
        <w:rFonts w:eastAsiaTheme="minorEastAsia"/>
        <w:i/>
        <w:sz w:val="20"/>
        <w:szCs w:val="20"/>
        <w:lang w:val="es-CO" w:eastAsia="es-CO"/>
      </w:rPr>
    </w:pPr>
    <w:r>
      <w:rPr>
        <w:rFonts w:eastAsiaTheme="minorEastAsia"/>
        <w:i/>
        <w:sz w:val="20"/>
        <w:szCs w:val="20"/>
        <w:lang w:val="es-CO" w:eastAsia="es-CO"/>
      </w:rPr>
      <w:t>Octavo Semestre</w:t>
    </w:r>
  </w:p>
  <w:p w14:paraId="3816806B" w14:textId="493646C5" w:rsidR="00F202D6" w:rsidRDefault="00F202D6" w:rsidP="003355F8">
    <w:pPr>
      <w:tabs>
        <w:tab w:val="center" w:pos="4252"/>
        <w:tab w:val="right" w:pos="8504"/>
      </w:tabs>
      <w:suppressAutoHyphens w:val="0"/>
      <w:overflowPunct/>
      <w:autoSpaceDE/>
      <w:autoSpaceDN/>
      <w:adjustRightInd/>
      <w:jc w:val="center"/>
      <w:textAlignment w:val="auto"/>
      <w:rPr>
        <w:rFonts w:eastAsiaTheme="minorEastAsia"/>
        <w:i/>
        <w:sz w:val="20"/>
        <w:szCs w:val="20"/>
        <w:lang w:val="es-CO" w:eastAsia="es-CO"/>
      </w:rPr>
    </w:pPr>
    <w:r>
      <w:rPr>
        <w:rFonts w:eastAsiaTheme="minorEastAsia"/>
        <w:i/>
        <w:sz w:val="20"/>
        <w:szCs w:val="20"/>
        <w:lang w:val="es-CO" w:eastAsia="es-CO"/>
      </w:rPr>
      <w:t xml:space="preserve">Universidad Cooperativa de Colombia </w:t>
    </w:r>
  </w:p>
  <w:p w14:paraId="4245C04B" w14:textId="14BC348C" w:rsidR="00F202D6" w:rsidRPr="00F202D6" w:rsidRDefault="00CE52D1" w:rsidP="003355F8">
    <w:pPr>
      <w:tabs>
        <w:tab w:val="center" w:pos="4252"/>
        <w:tab w:val="right" w:pos="8504"/>
      </w:tabs>
      <w:suppressAutoHyphens w:val="0"/>
      <w:overflowPunct/>
      <w:autoSpaceDE/>
      <w:autoSpaceDN/>
      <w:adjustRightInd/>
      <w:jc w:val="center"/>
      <w:textAlignment w:val="auto"/>
      <w:rPr>
        <w:sz w:val="20"/>
        <w:szCs w:val="20"/>
      </w:rPr>
    </w:pPr>
    <w:hyperlink r:id="rId1" w:history="1">
      <w:r w:rsidR="001936E7" w:rsidRPr="00E104CE">
        <w:rPr>
          <w:rStyle w:val="Hipervnculo"/>
          <w:rFonts w:eastAsiaTheme="minorEastAsia"/>
          <w:i/>
          <w:sz w:val="20"/>
          <w:szCs w:val="20"/>
          <w:lang w:val="es-CO" w:eastAsia="es-CO"/>
        </w:rPr>
        <w:t>Angie.navarretev@campusucc.edu.co</w:t>
      </w:r>
    </w:hyperlink>
    <w:r w:rsidR="001936E7">
      <w:rPr>
        <w:rFonts w:eastAsiaTheme="minorEastAsia"/>
        <w:i/>
        <w:sz w:val="20"/>
        <w:szCs w:val="20"/>
        <w:lang w:val="es-CO" w:eastAsia="es-CO"/>
      </w:rPr>
      <w:t xml:space="preserve"> – </w:t>
    </w:r>
    <w:hyperlink r:id="rId2" w:history="1">
      <w:r w:rsidR="001936E7" w:rsidRPr="00E104CE">
        <w:rPr>
          <w:rStyle w:val="Hipervnculo"/>
          <w:rFonts w:eastAsiaTheme="minorEastAsia"/>
          <w:i/>
          <w:sz w:val="20"/>
          <w:szCs w:val="20"/>
          <w:lang w:val="es-CO" w:eastAsia="es-CO"/>
        </w:rPr>
        <w:t>leydi.meray@campusucc.edu.co</w:t>
      </w:r>
    </w:hyperlink>
    <w:r w:rsidR="001936E7">
      <w:rPr>
        <w:rFonts w:eastAsiaTheme="minorEastAsia"/>
        <w:i/>
        <w:sz w:val="20"/>
        <w:szCs w:val="20"/>
        <w:lang w:val="es-CO" w:eastAsia="es-CO"/>
      </w:rPr>
      <w:t xml:space="preserve"> – </w:t>
    </w:r>
    <w:hyperlink r:id="rId3" w:history="1">
      <w:r w:rsidR="001936E7" w:rsidRPr="00E104CE">
        <w:rPr>
          <w:rStyle w:val="Hipervnculo"/>
          <w:rFonts w:eastAsiaTheme="minorEastAsia"/>
          <w:i/>
          <w:sz w:val="20"/>
          <w:szCs w:val="20"/>
          <w:lang w:val="es-CO" w:eastAsia="es-CO"/>
        </w:rPr>
        <w:t>lina.francoar@campusucc.edu.co</w:t>
      </w:r>
    </w:hyperlink>
    <w:r w:rsidR="001936E7">
      <w:rPr>
        <w:rFonts w:eastAsiaTheme="minorEastAsia"/>
        <w:i/>
        <w:sz w:val="20"/>
        <w:szCs w:val="20"/>
        <w:lang w:val="es-CO" w:eastAsia="es-C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19CF" w14:textId="77777777" w:rsidR="00CE52D1" w:rsidRDefault="00CE52D1" w:rsidP="00A00A81">
      <w:r>
        <w:separator/>
      </w:r>
    </w:p>
  </w:footnote>
  <w:footnote w:type="continuationSeparator" w:id="0">
    <w:p w14:paraId="72E33BC5" w14:textId="77777777" w:rsidR="00CE52D1" w:rsidRDefault="00CE52D1" w:rsidP="00A00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9706" w14:textId="77777777" w:rsidR="006858BD" w:rsidRPr="006858BD" w:rsidRDefault="00E22E4D" w:rsidP="006858BD">
    <w:pPr>
      <w:tabs>
        <w:tab w:val="center" w:pos="4252"/>
        <w:tab w:val="right" w:pos="8504"/>
      </w:tabs>
      <w:suppressAutoHyphens w:val="0"/>
      <w:overflowPunct/>
      <w:autoSpaceDE/>
      <w:autoSpaceDN/>
      <w:adjustRightInd/>
      <w:textAlignment w:val="auto"/>
      <w:rPr>
        <w:rFonts w:asciiTheme="minorHAnsi" w:eastAsiaTheme="minorEastAsia" w:hAnsiTheme="minorHAnsi" w:cstheme="minorBidi"/>
        <w:sz w:val="22"/>
        <w:szCs w:val="22"/>
        <w:lang w:val="es-CO" w:eastAsia="es-CO"/>
      </w:rPr>
    </w:pPr>
    <w:r>
      <w:rPr>
        <w:noProof/>
        <w:lang w:val="es-CO" w:eastAsia="es-CO"/>
      </w:rPr>
      <mc:AlternateContent>
        <mc:Choice Requires="wps">
          <w:drawing>
            <wp:anchor distT="0" distB="0" distL="114300" distR="114300" simplePos="0" relativeHeight="251656192" behindDoc="0" locked="0" layoutInCell="1" allowOverlap="1" wp14:anchorId="7584F471" wp14:editId="08A2985A">
              <wp:simplePos x="0" y="0"/>
              <wp:positionH relativeFrom="column">
                <wp:posOffset>1777365</wp:posOffset>
              </wp:positionH>
              <wp:positionV relativeFrom="paragraph">
                <wp:posOffset>-302260</wp:posOffset>
              </wp:positionV>
              <wp:extent cx="4205605" cy="835660"/>
              <wp:effectExtent l="0" t="0" r="4445"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5605"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AA131" w14:textId="77777777" w:rsidR="00E22E4D" w:rsidRPr="00E22E4D" w:rsidRDefault="00E22E4D" w:rsidP="00E22E4D">
                          <w:pPr>
                            <w:jc w:val="right"/>
                            <w:rPr>
                              <w:rFonts w:asciiTheme="minorHAnsi" w:hAnsiTheme="minorHAnsi" w:cstheme="minorHAnsi"/>
                              <w:b/>
                              <w:i/>
                            </w:rPr>
                          </w:pPr>
                          <w:r w:rsidRPr="00E22E4D">
                            <w:rPr>
                              <w:rFonts w:asciiTheme="minorHAnsi" w:hAnsiTheme="minorHAnsi" w:cstheme="minorHAnsi"/>
                              <w:b/>
                              <w:i/>
                            </w:rPr>
                            <w:t>IX Encuentro Departamental de Semilleros de Investigación</w:t>
                          </w:r>
                        </w:p>
                        <w:p w14:paraId="62068713" w14:textId="77777777" w:rsidR="00E22E4D" w:rsidRPr="00E22E4D" w:rsidRDefault="00E22E4D" w:rsidP="00E22E4D">
                          <w:pPr>
                            <w:jc w:val="right"/>
                            <w:rPr>
                              <w:rFonts w:asciiTheme="minorHAnsi" w:hAnsiTheme="minorHAnsi" w:cstheme="minorHAnsi"/>
                              <w:b/>
                              <w:i/>
                            </w:rPr>
                          </w:pPr>
                          <w:r w:rsidRPr="00E22E4D">
                            <w:rPr>
                              <w:rFonts w:asciiTheme="minorHAnsi" w:hAnsiTheme="minorHAnsi" w:cstheme="minorHAnsi"/>
                              <w:b/>
                              <w:i/>
                            </w:rPr>
                            <w:t>Nodo Valle del Cauca</w:t>
                          </w:r>
                        </w:p>
                        <w:p w14:paraId="2F78DF89" w14:textId="77777777" w:rsidR="00E22E4D" w:rsidRPr="00E22E4D" w:rsidRDefault="00E22E4D" w:rsidP="00E22E4D">
                          <w:pPr>
                            <w:jc w:val="right"/>
                            <w:rPr>
                              <w:rFonts w:asciiTheme="minorHAnsi" w:hAnsiTheme="minorHAnsi" w:cstheme="minorHAnsi"/>
                              <w:b/>
                              <w:i/>
                            </w:rPr>
                          </w:pPr>
                          <w:r w:rsidRPr="00E22E4D">
                            <w:rPr>
                              <w:rFonts w:asciiTheme="minorHAnsi" w:hAnsiTheme="minorHAnsi" w:cstheme="minorHAnsi"/>
                              <w:b/>
                              <w:i/>
                            </w:rPr>
                            <w:t>Universidad del Valle Sede Yumbo</w:t>
                          </w:r>
                        </w:p>
                        <w:p w14:paraId="4B24595E" w14:textId="77777777" w:rsidR="006858BD" w:rsidRPr="00E22E4D" w:rsidRDefault="00364884" w:rsidP="00E22E4D">
                          <w:pPr>
                            <w:jc w:val="right"/>
                            <w:rPr>
                              <w:rFonts w:asciiTheme="minorHAnsi" w:hAnsiTheme="minorHAnsi" w:cstheme="minorHAnsi"/>
                              <w:b/>
                              <w:i/>
                            </w:rPr>
                          </w:pPr>
                          <w:r>
                            <w:rPr>
                              <w:rFonts w:asciiTheme="minorHAnsi" w:hAnsiTheme="minorHAnsi" w:cstheme="minorHAnsi"/>
                              <w:b/>
                              <w:i/>
                            </w:rPr>
                            <w:t>Agosto 21</w:t>
                          </w:r>
                          <w:r w:rsidR="00E22E4D" w:rsidRPr="00E22E4D">
                            <w:rPr>
                              <w:rFonts w:asciiTheme="minorHAnsi" w:hAnsiTheme="minorHAnsi" w:cstheme="minorHAnsi"/>
                              <w:b/>
                              <w:i/>
                            </w:rPr>
                            <w:t xml:space="preserve"> de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4F471" id="_x0000_t202" coordsize="21600,21600" o:spt="202" path="m,l,21600r21600,l21600,xe">
              <v:stroke joinstyle="miter"/>
              <v:path gradientshapeok="t" o:connecttype="rect"/>
            </v:shapetype>
            <v:shape id="Cuadro de texto 2" o:spid="_x0000_s1026" type="#_x0000_t202" style="position:absolute;margin-left:139.95pt;margin-top:-23.8pt;width:331.15pt;height:6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" stroked="f">
              <v:textbox>
                <w:txbxContent>
                  <w:p w14:paraId="18FAA131" w14:textId="77777777" w:rsidR="00E22E4D" w:rsidRPr="00E22E4D" w:rsidRDefault="00E22E4D" w:rsidP="00E22E4D">
                    <w:pPr>
                      <w:jc w:val="right"/>
                      <w:rPr>
                        <w:rFonts w:asciiTheme="minorHAnsi" w:hAnsiTheme="minorHAnsi" w:cstheme="minorHAnsi"/>
                        <w:b/>
                        <w:i/>
                      </w:rPr>
                    </w:pPr>
                    <w:r w:rsidRPr="00E22E4D">
                      <w:rPr>
                        <w:rFonts w:asciiTheme="minorHAnsi" w:hAnsiTheme="minorHAnsi" w:cstheme="minorHAnsi"/>
                        <w:b/>
                        <w:i/>
                      </w:rPr>
                      <w:t>IX Encuentro Departamental de Semilleros de Investigación</w:t>
                    </w:r>
                  </w:p>
                  <w:p w14:paraId="62068713" w14:textId="77777777" w:rsidR="00E22E4D" w:rsidRPr="00E22E4D" w:rsidRDefault="00E22E4D" w:rsidP="00E22E4D">
                    <w:pPr>
                      <w:jc w:val="right"/>
                      <w:rPr>
                        <w:rFonts w:asciiTheme="minorHAnsi" w:hAnsiTheme="minorHAnsi" w:cstheme="minorHAnsi"/>
                        <w:b/>
                        <w:i/>
                      </w:rPr>
                    </w:pPr>
                    <w:r w:rsidRPr="00E22E4D">
                      <w:rPr>
                        <w:rFonts w:asciiTheme="minorHAnsi" w:hAnsiTheme="minorHAnsi" w:cstheme="minorHAnsi"/>
                        <w:b/>
                        <w:i/>
                      </w:rPr>
                      <w:t>Nodo Valle del Cauca</w:t>
                    </w:r>
                  </w:p>
                  <w:p w14:paraId="2F78DF89" w14:textId="77777777" w:rsidR="00E22E4D" w:rsidRPr="00E22E4D" w:rsidRDefault="00E22E4D" w:rsidP="00E22E4D">
                    <w:pPr>
                      <w:jc w:val="right"/>
                      <w:rPr>
                        <w:rFonts w:asciiTheme="minorHAnsi" w:hAnsiTheme="minorHAnsi" w:cstheme="minorHAnsi"/>
                        <w:b/>
                        <w:i/>
                      </w:rPr>
                    </w:pPr>
                    <w:r w:rsidRPr="00E22E4D">
                      <w:rPr>
                        <w:rFonts w:asciiTheme="minorHAnsi" w:hAnsiTheme="minorHAnsi" w:cstheme="minorHAnsi"/>
                        <w:b/>
                        <w:i/>
                      </w:rPr>
                      <w:t>Universidad del Valle Sede Yumbo</w:t>
                    </w:r>
                  </w:p>
                  <w:p w14:paraId="4B24595E" w14:textId="77777777" w:rsidR="006858BD" w:rsidRPr="00E22E4D" w:rsidRDefault="00364884" w:rsidP="00E22E4D">
                    <w:pPr>
                      <w:jc w:val="right"/>
                      <w:rPr>
                        <w:rFonts w:asciiTheme="minorHAnsi" w:hAnsiTheme="minorHAnsi" w:cstheme="minorHAnsi"/>
                        <w:b/>
                        <w:i/>
                      </w:rPr>
                    </w:pPr>
                    <w:r>
                      <w:rPr>
                        <w:rFonts w:asciiTheme="minorHAnsi" w:hAnsiTheme="minorHAnsi" w:cstheme="minorHAnsi"/>
                        <w:b/>
                        <w:i/>
                      </w:rPr>
                      <w:t>Agosto 21</w:t>
                    </w:r>
                    <w:r w:rsidR="00E22E4D" w:rsidRPr="00E22E4D">
                      <w:rPr>
                        <w:rFonts w:asciiTheme="minorHAnsi" w:hAnsiTheme="minorHAnsi" w:cstheme="minorHAnsi"/>
                        <w:b/>
                        <w:i/>
                      </w:rPr>
                      <w:t xml:space="preserve"> de 2020</w:t>
                    </w:r>
                  </w:p>
                </w:txbxContent>
              </v:textbox>
            </v:shape>
          </w:pict>
        </mc:Fallback>
      </mc:AlternateContent>
    </w:r>
    <w:r>
      <w:rPr>
        <w:noProof/>
        <w:lang w:val="es-CO" w:eastAsia="es-CO"/>
      </w:rPr>
      <w:drawing>
        <wp:anchor distT="0" distB="0" distL="114300" distR="114300" simplePos="0" relativeHeight="251660288" behindDoc="0" locked="0" layoutInCell="1" allowOverlap="1" wp14:anchorId="60BB6D90" wp14:editId="11672859">
          <wp:simplePos x="0" y="0"/>
          <wp:positionH relativeFrom="column">
            <wp:posOffset>-280035</wp:posOffset>
          </wp:positionH>
          <wp:positionV relativeFrom="paragraph">
            <wp:posOffset>-235585</wp:posOffset>
          </wp:positionV>
          <wp:extent cx="1828800" cy="647700"/>
          <wp:effectExtent l="0" t="0" r="0" b="0"/>
          <wp:wrapSquare wrapText="bothSides"/>
          <wp:docPr id="12" name="Imagen 1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D96"/>
    <w:multiLevelType w:val="hybridMultilevel"/>
    <w:tmpl w:val="193C8E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1B642E"/>
    <w:multiLevelType w:val="hybridMultilevel"/>
    <w:tmpl w:val="25B03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A04CF5"/>
    <w:multiLevelType w:val="hybridMultilevel"/>
    <w:tmpl w:val="08F04C0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06C847E0"/>
    <w:multiLevelType w:val="hybridMultilevel"/>
    <w:tmpl w:val="5D004220"/>
    <w:lvl w:ilvl="0" w:tplc="30467936">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C8021C"/>
    <w:multiLevelType w:val="multilevel"/>
    <w:tmpl w:val="57CA400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510346"/>
    <w:multiLevelType w:val="hybridMultilevel"/>
    <w:tmpl w:val="7EF05390"/>
    <w:lvl w:ilvl="0" w:tplc="0C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3538C9"/>
    <w:multiLevelType w:val="hybridMultilevel"/>
    <w:tmpl w:val="8AC67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14E5863"/>
    <w:multiLevelType w:val="hybridMultilevel"/>
    <w:tmpl w:val="3B5CA9A6"/>
    <w:lvl w:ilvl="0" w:tplc="0C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20F5FF1"/>
    <w:multiLevelType w:val="hybridMultilevel"/>
    <w:tmpl w:val="EDBA8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622BDA"/>
    <w:multiLevelType w:val="hybridMultilevel"/>
    <w:tmpl w:val="244CC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6B0363"/>
    <w:multiLevelType w:val="hybridMultilevel"/>
    <w:tmpl w:val="390619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B36AF5"/>
    <w:multiLevelType w:val="hybridMultilevel"/>
    <w:tmpl w:val="FC9ED9BC"/>
    <w:lvl w:ilvl="0" w:tplc="4E04797C">
      <w:start w:val="1"/>
      <w:numFmt w:val="decimal"/>
      <w:lvlText w:val="%1."/>
      <w:lvlJc w:val="left"/>
      <w:pPr>
        <w:ind w:left="375" w:hanging="360"/>
      </w:pPr>
      <w:rPr>
        <w:rFonts w:hint="default"/>
      </w:rPr>
    </w:lvl>
    <w:lvl w:ilvl="1" w:tplc="240A0019" w:tentative="1">
      <w:start w:val="1"/>
      <w:numFmt w:val="lowerLetter"/>
      <w:lvlText w:val="%2."/>
      <w:lvlJc w:val="left"/>
      <w:pPr>
        <w:ind w:left="1095" w:hanging="360"/>
      </w:pPr>
    </w:lvl>
    <w:lvl w:ilvl="2" w:tplc="240A001B" w:tentative="1">
      <w:start w:val="1"/>
      <w:numFmt w:val="lowerRoman"/>
      <w:lvlText w:val="%3."/>
      <w:lvlJc w:val="right"/>
      <w:pPr>
        <w:ind w:left="1815" w:hanging="180"/>
      </w:pPr>
    </w:lvl>
    <w:lvl w:ilvl="3" w:tplc="240A000F" w:tentative="1">
      <w:start w:val="1"/>
      <w:numFmt w:val="decimal"/>
      <w:lvlText w:val="%4."/>
      <w:lvlJc w:val="left"/>
      <w:pPr>
        <w:ind w:left="2535" w:hanging="360"/>
      </w:pPr>
    </w:lvl>
    <w:lvl w:ilvl="4" w:tplc="240A0019" w:tentative="1">
      <w:start w:val="1"/>
      <w:numFmt w:val="lowerLetter"/>
      <w:lvlText w:val="%5."/>
      <w:lvlJc w:val="left"/>
      <w:pPr>
        <w:ind w:left="3255" w:hanging="360"/>
      </w:pPr>
    </w:lvl>
    <w:lvl w:ilvl="5" w:tplc="240A001B" w:tentative="1">
      <w:start w:val="1"/>
      <w:numFmt w:val="lowerRoman"/>
      <w:lvlText w:val="%6."/>
      <w:lvlJc w:val="right"/>
      <w:pPr>
        <w:ind w:left="3975" w:hanging="180"/>
      </w:pPr>
    </w:lvl>
    <w:lvl w:ilvl="6" w:tplc="240A000F" w:tentative="1">
      <w:start w:val="1"/>
      <w:numFmt w:val="decimal"/>
      <w:lvlText w:val="%7."/>
      <w:lvlJc w:val="left"/>
      <w:pPr>
        <w:ind w:left="4695" w:hanging="360"/>
      </w:pPr>
    </w:lvl>
    <w:lvl w:ilvl="7" w:tplc="240A0019" w:tentative="1">
      <w:start w:val="1"/>
      <w:numFmt w:val="lowerLetter"/>
      <w:lvlText w:val="%8."/>
      <w:lvlJc w:val="left"/>
      <w:pPr>
        <w:ind w:left="5415" w:hanging="360"/>
      </w:pPr>
    </w:lvl>
    <w:lvl w:ilvl="8" w:tplc="240A001B" w:tentative="1">
      <w:start w:val="1"/>
      <w:numFmt w:val="lowerRoman"/>
      <w:lvlText w:val="%9."/>
      <w:lvlJc w:val="right"/>
      <w:pPr>
        <w:ind w:left="6135" w:hanging="180"/>
      </w:pPr>
    </w:lvl>
  </w:abstractNum>
  <w:abstractNum w:abstractNumId="12" w15:restartNumberingAfterBreak="0">
    <w:nsid w:val="46584F54"/>
    <w:multiLevelType w:val="hybridMultilevel"/>
    <w:tmpl w:val="F90027E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3" w15:restartNumberingAfterBreak="0">
    <w:nsid w:val="56926223"/>
    <w:multiLevelType w:val="hybridMultilevel"/>
    <w:tmpl w:val="91642076"/>
    <w:lvl w:ilvl="0" w:tplc="240A0001">
      <w:start w:val="1"/>
      <w:numFmt w:val="bullet"/>
      <w:lvlText w:val=""/>
      <w:lvlJc w:val="left"/>
      <w:pPr>
        <w:ind w:left="720" w:hanging="360"/>
      </w:pPr>
      <w:rPr>
        <w:rFonts w:ascii="Symbol" w:hAnsi="Symbol" w:hint="default"/>
      </w:rPr>
    </w:lvl>
    <w:lvl w:ilvl="1" w:tplc="9D44D02C">
      <w:numFmt w:val="bullet"/>
      <w:lvlText w:val="•"/>
      <w:lvlJc w:val="left"/>
      <w:pPr>
        <w:ind w:left="1788" w:hanging="708"/>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9376EC9"/>
    <w:multiLevelType w:val="hybridMultilevel"/>
    <w:tmpl w:val="B4D6E600"/>
    <w:lvl w:ilvl="0" w:tplc="CAA6BE8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6895CFB"/>
    <w:multiLevelType w:val="hybridMultilevel"/>
    <w:tmpl w:val="E126F8C4"/>
    <w:lvl w:ilvl="0" w:tplc="CAA6BE8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24472CF"/>
    <w:multiLevelType w:val="hybridMultilevel"/>
    <w:tmpl w:val="709C9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7D20394"/>
    <w:multiLevelType w:val="multilevel"/>
    <w:tmpl w:val="B63CB3B6"/>
    <w:lvl w:ilvl="0">
      <w:start w:val="1"/>
      <w:numFmt w:val="decimal"/>
      <w:lvlText w:val="%1."/>
      <w:lvlJc w:val="left"/>
      <w:pPr>
        <w:ind w:left="643" w:hanging="360"/>
      </w:pPr>
      <w:rPr>
        <w:rFonts w:hint="default"/>
        <w:b/>
      </w:rPr>
    </w:lvl>
    <w:lvl w:ilvl="1">
      <w:start w:val="2"/>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8" w15:restartNumberingAfterBreak="0">
    <w:nsid w:val="79F44840"/>
    <w:multiLevelType w:val="hybridMultilevel"/>
    <w:tmpl w:val="0D98D958"/>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51389C"/>
    <w:multiLevelType w:val="hybridMultilevel"/>
    <w:tmpl w:val="D4925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707876"/>
    <w:multiLevelType w:val="hybridMultilevel"/>
    <w:tmpl w:val="7D14E38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3"/>
  </w:num>
  <w:num w:numId="5">
    <w:abstractNumId w:val="5"/>
  </w:num>
  <w:num w:numId="6">
    <w:abstractNumId w:val="0"/>
  </w:num>
  <w:num w:numId="7">
    <w:abstractNumId w:val="9"/>
  </w:num>
  <w:num w:numId="8">
    <w:abstractNumId w:val="13"/>
  </w:num>
  <w:num w:numId="9">
    <w:abstractNumId w:val="10"/>
  </w:num>
  <w:num w:numId="10">
    <w:abstractNumId w:val="11"/>
  </w:num>
  <w:num w:numId="11">
    <w:abstractNumId w:val="16"/>
  </w:num>
  <w:num w:numId="12">
    <w:abstractNumId w:val="1"/>
  </w:num>
  <w:num w:numId="13">
    <w:abstractNumId w:val="8"/>
  </w:num>
  <w:num w:numId="14">
    <w:abstractNumId w:val="20"/>
  </w:num>
  <w:num w:numId="15">
    <w:abstractNumId w:val="15"/>
  </w:num>
  <w:num w:numId="16">
    <w:abstractNumId w:val="19"/>
  </w:num>
  <w:num w:numId="17">
    <w:abstractNumId w:val="14"/>
  </w:num>
  <w:num w:numId="18">
    <w:abstractNumId w:val="18"/>
  </w:num>
  <w:num w:numId="19">
    <w:abstractNumId w:val="6"/>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6D"/>
    <w:rsid w:val="000012DF"/>
    <w:rsid w:val="00012B23"/>
    <w:rsid w:val="00020987"/>
    <w:rsid w:val="00030324"/>
    <w:rsid w:val="000357AB"/>
    <w:rsid w:val="000441BB"/>
    <w:rsid w:val="000741F7"/>
    <w:rsid w:val="000A0E8C"/>
    <w:rsid w:val="000A416B"/>
    <w:rsid w:val="000A56A4"/>
    <w:rsid w:val="000E3A11"/>
    <w:rsid w:val="000F6FB3"/>
    <w:rsid w:val="0011337E"/>
    <w:rsid w:val="0013265A"/>
    <w:rsid w:val="00134393"/>
    <w:rsid w:val="0014267A"/>
    <w:rsid w:val="001539CE"/>
    <w:rsid w:val="001559D9"/>
    <w:rsid w:val="00175915"/>
    <w:rsid w:val="0018040E"/>
    <w:rsid w:val="001936E7"/>
    <w:rsid w:val="001963F8"/>
    <w:rsid w:val="001A0AC9"/>
    <w:rsid w:val="001A34E0"/>
    <w:rsid w:val="001A443B"/>
    <w:rsid w:val="001B2C6F"/>
    <w:rsid w:val="001B33C9"/>
    <w:rsid w:val="001C06A0"/>
    <w:rsid w:val="001C1E7C"/>
    <w:rsid w:val="001E1E31"/>
    <w:rsid w:val="001E6177"/>
    <w:rsid w:val="001E6454"/>
    <w:rsid w:val="00206E7D"/>
    <w:rsid w:val="0021158D"/>
    <w:rsid w:val="00220FF6"/>
    <w:rsid w:val="00224EBE"/>
    <w:rsid w:val="00225814"/>
    <w:rsid w:val="00225A32"/>
    <w:rsid w:val="002454BE"/>
    <w:rsid w:val="00251F7F"/>
    <w:rsid w:val="00254D49"/>
    <w:rsid w:val="002609FD"/>
    <w:rsid w:val="00263D91"/>
    <w:rsid w:val="002909F4"/>
    <w:rsid w:val="002A0101"/>
    <w:rsid w:val="002A06F6"/>
    <w:rsid w:val="002B35C3"/>
    <w:rsid w:val="002C303A"/>
    <w:rsid w:val="002D291B"/>
    <w:rsid w:val="002D4BC7"/>
    <w:rsid w:val="002F1A4B"/>
    <w:rsid w:val="003141AD"/>
    <w:rsid w:val="0031700B"/>
    <w:rsid w:val="00333A9A"/>
    <w:rsid w:val="003355F8"/>
    <w:rsid w:val="00353A94"/>
    <w:rsid w:val="00364884"/>
    <w:rsid w:val="00375932"/>
    <w:rsid w:val="00376230"/>
    <w:rsid w:val="00376F82"/>
    <w:rsid w:val="003856BD"/>
    <w:rsid w:val="003C09F5"/>
    <w:rsid w:val="003D0C2D"/>
    <w:rsid w:val="003D79E4"/>
    <w:rsid w:val="00415752"/>
    <w:rsid w:val="004231C4"/>
    <w:rsid w:val="004316B2"/>
    <w:rsid w:val="004732D5"/>
    <w:rsid w:val="004867F1"/>
    <w:rsid w:val="004D460C"/>
    <w:rsid w:val="004D5711"/>
    <w:rsid w:val="004E1CCB"/>
    <w:rsid w:val="004F0D71"/>
    <w:rsid w:val="004F1CF4"/>
    <w:rsid w:val="005043AF"/>
    <w:rsid w:val="005428E1"/>
    <w:rsid w:val="00573878"/>
    <w:rsid w:val="005A091D"/>
    <w:rsid w:val="005A1372"/>
    <w:rsid w:val="005B6BD4"/>
    <w:rsid w:val="005B6E04"/>
    <w:rsid w:val="005C7664"/>
    <w:rsid w:val="005D1CD2"/>
    <w:rsid w:val="005D30C9"/>
    <w:rsid w:val="005D6702"/>
    <w:rsid w:val="005E2204"/>
    <w:rsid w:val="005E6B2D"/>
    <w:rsid w:val="005F09CC"/>
    <w:rsid w:val="005F1720"/>
    <w:rsid w:val="005F6EF4"/>
    <w:rsid w:val="00606FEF"/>
    <w:rsid w:val="0061311D"/>
    <w:rsid w:val="006132AB"/>
    <w:rsid w:val="00617221"/>
    <w:rsid w:val="00621838"/>
    <w:rsid w:val="00627ABD"/>
    <w:rsid w:val="00640E96"/>
    <w:rsid w:val="00641A20"/>
    <w:rsid w:val="00642161"/>
    <w:rsid w:val="00644B8C"/>
    <w:rsid w:val="00644F82"/>
    <w:rsid w:val="0064607A"/>
    <w:rsid w:val="006635F2"/>
    <w:rsid w:val="00666423"/>
    <w:rsid w:val="00671127"/>
    <w:rsid w:val="00674971"/>
    <w:rsid w:val="00674A59"/>
    <w:rsid w:val="006858BD"/>
    <w:rsid w:val="006A021C"/>
    <w:rsid w:val="006A14AD"/>
    <w:rsid w:val="006D1E06"/>
    <w:rsid w:val="006F4618"/>
    <w:rsid w:val="00701DBF"/>
    <w:rsid w:val="0070603A"/>
    <w:rsid w:val="0070755D"/>
    <w:rsid w:val="007277AF"/>
    <w:rsid w:val="0073096E"/>
    <w:rsid w:val="007328A8"/>
    <w:rsid w:val="00735B11"/>
    <w:rsid w:val="00737D6A"/>
    <w:rsid w:val="007639D2"/>
    <w:rsid w:val="007A5F4D"/>
    <w:rsid w:val="007A7AF3"/>
    <w:rsid w:val="007C46BD"/>
    <w:rsid w:val="007D4B7A"/>
    <w:rsid w:val="00804021"/>
    <w:rsid w:val="00811AD6"/>
    <w:rsid w:val="00815CF1"/>
    <w:rsid w:val="00827ACA"/>
    <w:rsid w:val="00831D4D"/>
    <w:rsid w:val="00837AAE"/>
    <w:rsid w:val="00874002"/>
    <w:rsid w:val="0087567E"/>
    <w:rsid w:val="008800A3"/>
    <w:rsid w:val="00881637"/>
    <w:rsid w:val="008902C0"/>
    <w:rsid w:val="00890C8C"/>
    <w:rsid w:val="00892A3D"/>
    <w:rsid w:val="008A3E39"/>
    <w:rsid w:val="008C05FF"/>
    <w:rsid w:val="008C125F"/>
    <w:rsid w:val="008C39A5"/>
    <w:rsid w:val="008E13B0"/>
    <w:rsid w:val="008E681E"/>
    <w:rsid w:val="008F2154"/>
    <w:rsid w:val="008F4C7B"/>
    <w:rsid w:val="008F62C6"/>
    <w:rsid w:val="00902933"/>
    <w:rsid w:val="00911F05"/>
    <w:rsid w:val="009218B6"/>
    <w:rsid w:val="00923257"/>
    <w:rsid w:val="009266EB"/>
    <w:rsid w:val="00934F74"/>
    <w:rsid w:val="009354A8"/>
    <w:rsid w:val="009356E0"/>
    <w:rsid w:val="00941434"/>
    <w:rsid w:val="0095179D"/>
    <w:rsid w:val="0095513F"/>
    <w:rsid w:val="0096364D"/>
    <w:rsid w:val="009935E5"/>
    <w:rsid w:val="0099763B"/>
    <w:rsid w:val="009B7BAA"/>
    <w:rsid w:val="009C10B8"/>
    <w:rsid w:val="009C32A0"/>
    <w:rsid w:val="009E6DB7"/>
    <w:rsid w:val="009E7F58"/>
    <w:rsid w:val="009F05BE"/>
    <w:rsid w:val="00A00A81"/>
    <w:rsid w:val="00A02AC1"/>
    <w:rsid w:val="00A03600"/>
    <w:rsid w:val="00A10492"/>
    <w:rsid w:val="00A23EC4"/>
    <w:rsid w:val="00A25D72"/>
    <w:rsid w:val="00A2622A"/>
    <w:rsid w:val="00A37B6D"/>
    <w:rsid w:val="00A57710"/>
    <w:rsid w:val="00A61ABF"/>
    <w:rsid w:val="00A6427B"/>
    <w:rsid w:val="00A7184C"/>
    <w:rsid w:val="00A81FA9"/>
    <w:rsid w:val="00AB0EBA"/>
    <w:rsid w:val="00AB3232"/>
    <w:rsid w:val="00AE4FF9"/>
    <w:rsid w:val="00AE762B"/>
    <w:rsid w:val="00AF036E"/>
    <w:rsid w:val="00B01325"/>
    <w:rsid w:val="00B01979"/>
    <w:rsid w:val="00B12816"/>
    <w:rsid w:val="00B144BD"/>
    <w:rsid w:val="00B1719B"/>
    <w:rsid w:val="00B1723C"/>
    <w:rsid w:val="00B2406D"/>
    <w:rsid w:val="00B37CC1"/>
    <w:rsid w:val="00B434CE"/>
    <w:rsid w:val="00B60E78"/>
    <w:rsid w:val="00B629DE"/>
    <w:rsid w:val="00B87DE9"/>
    <w:rsid w:val="00BA35A3"/>
    <w:rsid w:val="00BA5F1E"/>
    <w:rsid w:val="00BB52A5"/>
    <w:rsid w:val="00BD6C9A"/>
    <w:rsid w:val="00BD78C9"/>
    <w:rsid w:val="00BE0322"/>
    <w:rsid w:val="00BF6D4E"/>
    <w:rsid w:val="00C067AC"/>
    <w:rsid w:val="00C21F7E"/>
    <w:rsid w:val="00C54F7F"/>
    <w:rsid w:val="00C5714B"/>
    <w:rsid w:val="00C63E2D"/>
    <w:rsid w:val="00C7037D"/>
    <w:rsid w:val="00C85F39"/>
    <w:rsid w:val="00C87524"/>
    <w:rsid w:val="00CA03B5"/>
    <w:rsid w:val="00CA36EC"/>
    <w:rsid w:val="00CB7C4D"/>
    <w:rsid w:val="00CC09FC"/>
    <w:rsid w:val="00CC7830"/>
    <w:rsid w:val="00CD0246"/>
    <w:rsid w:val="00CD30DB"/>
    <w:rsid w:val="00CD6EB7"/>
    <w:rsid w:val="00CE52D1"/>
    <w:rsid w:val="00CE5E32"/>
    <w:rsid w:val="00CE76B9"/>
    <w:rsid w:val="00CF6143"/>
    <w:rsid w:val="00D14CB3"/>
    <w:rsid w:val="00D21987"/>
    <w:rsid w:val="00D22FD0"/>
    <w:rsid w:val="00D310CB"/>
    <w:rsid w:val="00D34BF8"/>
    <w:rsid w:val="00D43821"/>
    <w:rsid w:val="00D5273E"/>
    <w:rsid w:val="00D57325"/>
    <w:rsid w:val="00D71F22"/>
    <w:rsid w:val="00D91F5D"/>
    <w:rsid w:val="00D93CE6"/>
    <w:rsid w:val="00DA1E32"/>
    <w:rsid w:val="00DB2CE2"/>
    <w:rsid w:val="00DC1375"/>
    <w:rsid w:val="00DC7BE7"/>
    <w:rsid w:val="00DF08F3"/>
    <w:rsid w:val="00E009DF"/>
    <w:rsid w:val="00E01D14"/>
    <w:rsid w:val="00E15A43"/>
    <w:rsid w:val="00E22E4D"/>
    <w:rsid w:val="00E2568F"/>
    <w:rsid w:val="00E3023A"/>
    <w:rsid w:val="00E34515"/>
    <w:rsid w:val="00E5290E"/>
    <w:rsid w:val="00E67BBC"/>
    <w:rsid w:val="00E8458E"/>
    <w:rsid w:val="00E901DF"/>
    <w:rsid w:val="00EA37FA"/>
    <w:rsid w:val="00EB38EB"/>
    <w:rsid w:val="00EE5B3E"/>
    <w:rsid w:val="00EE6218"/>
    <w:rsid w:val="00F17393"/>
    <w:rsid w:val="00F202D6"/>
    <w:rsid w:val="00F304EE"/>
    <w:rsid w:val="00F36E4A"/>
    <w:rsid w:val="00F42499"/>
    <w:rsid w:val="00F528CB"/>
    <w:rsid w:val="00F56A9F"/>
    <w:rsid w:val="00F62A47"/>
    <w:rsid w:val="00F9574F"/>
    <w:rsid w:val="00FA258A"/>
    <w:rsid w:val="00FD1813"/>
    <w:rsid w:val="00FD33DA"/>
    <w:rsid w:val="00FD5AAE"/>
    <w:rsid w:val="00FE37EC"/>
    <w:rsid w:val="00FF53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704B5"/>
  <w15:docId w15:val="{60DA91E6-EB10-48B3-91D4-EDBD9700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6D"/>
    <w:pPr>
      <w:suppressAutoHyphens/>
      <w:overflowPunct w:val="0"/>
      <w:autoSpaceDE w:val="0"/>
      <w:autoSpaceDN w:val="0"/>
      <w:adjustRightInd w:val="0"/>
      <w:textAlignment w:val="baseline"/>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CC7830"/>
    <w:pPr>
      <w:keepNext/>
      <w:keepLines/>
      <w:suppressAutoHyphens w:val="0"/>
      <w:overflowPunct/>
      <w:autoSpaceDE/>
      <w:autoSpaceDN/>
      <w:adjustRightInd/>
      <w:spacing w:before="240" w:line="259" w:lineRule="auto"/>
      <w:textAlignment w:val="auto"/>
      <w:outlineLvl w:val="0"/>
    </w:pPr>
    <w:rPr>
      <w:rFonts w:asciiTheme="majorHAnsi" w:eastAsiaTheme="majorEastAsia" w:hAnsiTheme="majorHAnsi" w:cstheme="majorBidi"/>
      <w:color w:val="365F91"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B2406D"/>
    <w:rPr>
      <w:rFonts w:ascii="Calibri" w:eastAsia="Times New Roman" w:hAnsi="Calibri" w:cs="Calibri"/>
      <w:lang w:val="es-ES"/>
    </w:rPr>
  </w:style>
  <w:style w:type="character" w:styleId="Hipervnculo">
    <w:name w:val="Hyperlink"/>
    <w:basedOn w:val="Fuentedeprrafopredeter"/>
    <w:uiPriority w:val="99"/>
    <w:unhideWhenUsed/>
    <w:rsid w:val="00641A20"/>
    <w:rPr>
      <w:color w:val="0000FF" w:themeColor="hyperlink"/>
      <w:u w:val="single"/>
    </w:rPr>
  </w:style>
  <w:style w:type="paragraph" w:styleId="Sinespaciado">
    <w:name w:val="No Spacing"/>
    <w:uiPriority w:val="1"/>
    <w:qFormat/>
    <w:rsid w:val="00F9574F"/>
    <w:rPr>
      <w:rFonts w:ascii="Calibri" w:eastAsia="Calibri" w:hAnsi="Calibri" w:cs="Times New Roman"/>
    </w:rPr>
  </w:style>
  <w:style w:type="character" w:customStyle="1" w:styleId="ecxapple-style-span">
    <w:name w:val="ecxapple-style-span"/>
    <w:basedOn w:val="Fuentedeprrafopredeter"/>
    <w:rsid w:val="00F9574F"/>
  </w:style>
  <w:style w:type="paragraph" w:styleId="Prrafodelista">
    <w:name w:val="List Paragraph"/>
    <w:basedOn w:val="Normal"/>
    <w:uiPriority w:val="34"/>
    <w:qFormat/>
    <w:rsid w:val="00F9574F"/>
    <w:pPr>
      <w:ind w:left="720"/>
      <w:contextualSpacing/>
    </w:pPr>
  </w:style>
  <w:style w:type="paragraph" w:styleId="Encabezado">
    <w:name w:val="header"/>
    <w:basedOn w:val="Normal"/>
    <w:link w:val="EncabezadoCar"/>
    <w:unhideWhenUsed/>
    <w:rsid w:val="00A00A81"/>
    <w:pPr>
      <w:tabs>
        <w:tab w:val="center" w:pos="4252"/>
        <w:tab w:val="right" w:pos="8504"/>
      </w:tabs>
    </w:pPr>
  </w:style>
  <w:style w:type="character" w:customStyle="1" w:styleId="EncabezadoCar">
    <w:name w:val="Encabezado Car"/>
    <w:basedOn w:val="Fuentedeprrafopredeter"/>
    <w:link w:val="Encabezado"/>
    <w:rsid w:val="00A00A81"/>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A00A81"/>
    <w:pPr>
      <w:tabs>
        <w:tab w:val="center" w:pos="4252"/>
        <w:tab w:val="right" w:pos="8504"/>
      </w:tabs>
    </w:pPr>
  </w:style>
  <w:style w:type="character" w:customStyle="1" w:styleId="PiedepginaCar">
    <w:name w:val="Pie de página Car"/>
    <w:basedOn w:val="Fuentedeprrafopredeter"/>
    <w:link w:val="Piedepgina"/>
    <w:uiPriority w:val="99"/>
    <w:rsid w:val="00A00A81"/>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A00A81"/>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A81"/>
    <w:rPr>
      <w:rFonts w:ascii="Tahoma" w:eastAsia="Times New Roman" w:hAnsi="Tahoma" w:cs="Tahoma"/>
      <w:sz w:val="16"/>
      <w:szCs w:val="16"/>
      <w:lang w:val="es-ES_tradnl" w:eastAsia="es-ES"/>
    </w:rPr>
  </w:style>
  <w:style w:type="paragraph" w:styleId="NormalWeb">
    <w:name w:val="Normal (Web)"/>
    <w:basedOn w:val="Normal"/>
    <w:uiPriority w:val="99"/>
    <w:unhideWhenUsed/>
    <w:rsid w:val="008C125F"/>
    <w:pPr>
      <w:suppressAutoHyphens w:val="0"/>
      <w:overflowPunct/>
      <w:autoSpaceDE/>
      <w:autoSpaceDN/>
      <w:adjustRightInd/>
      <w:spacing w:before="100" w:beforeAutospacing="1" w:after="119"/>
      <w:textAlignment w:val="auto"/>
    </w:pPr>
    <w:rPr>
      <w:lang w:val="es-CO" w:eastAsia="es-ES_tradnl"/>
    </w:rPr>
  </w:style>
  <w:style w:type="paragraph" w:customStyle="1" w:styleId="Default">
    <w:name w:val="Default"/>
    <w:rsid w:val="002F1A4B"/>
    <w:pPr>
      <w:autoSpaceDE w:val="0"/>
      <w:autoSpaceDN w:val="0"/>
      <w:adjustRightInd w:val="0"/>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70755D"/>
    <w:rPr>
      <w:sz w:val="20"/>
      <w:szCs w:val="20"/>
    </w:rPr>
  </w:style>
  <w:style w:type="character" w:customStyle="1" w:styleId="TextonotaalfinalCar">
    <w:name w:val="Texto nota al final Car"/>
    <w:basedOn w:val="Fuentedeprrafopredeter"/>
    <w:link w:val="Textonotaalfinal"/>
    <w:uiPriority w:val="99"/>
    <w:semiHidden/>
    <w:rsid w:val="0070755D"/>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70755D"/>
    <w:rPr>
      <w:vertAlign w:val="superscript"/>
    </w:rPr>
  </w:style>
  <w:style w:type="character" w:customStyle="1" w:styleId="Ttulo1Car">
    <w:name w:val="Título 1 Car"/>
    <w:basedOn w:val="Fuentedeprrafopredeter"/>
    <w:link w:val="Ttulo1"/>
    <w:uiPriority w:val="9"/>
    <w:rsid w:val="00CC7830"/>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Fuentedeprrafopredeter"/>
    <w:uiPriority w:val="99"/>
    <w:semiHidden/>
    <w:unhideWhenUsed/>
    <w:rsid w:val="001936E7"/>
    <w:rPr>
      <w:color w:val="605E5C"/>
      <w:shd w:val="clear" w:color="auto" w:fill="E1DFDD"/>
    </w:rPr>
  </w:style>
  <w:style w:type="table" w:styleId="Tablaconcuadrcula">
    <w:name w:val="Table Grid"/>
    <w:basedOn w:val="Tablanormal"/>
    <w:uiPriority w:val="39"/>
    <w:rsid w:val="0024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9356">
      <w:bodyDiv w:val="1"/>
      <w:marLeft w:val="0"/>
      <w:marRight w:val="0"/>
      <w:marTop w:val="0"/>
      <w:marBottom w:val="0"/>
      <w:divBdr>
        <w:top w:val="none" w:sz="0" w:space="0" w:color="auto"/>
        <w:left w:val="none" w:sz="0" w:space="0" w:color="auto"/>
        <w:bottom w:val="none" w:sz="0" w:space="0" w:color="auto"/>
        <w:right w:val="none" w:sz="0" w:space="0" w:color="auto"/>
      </w:divBdr>
    </w:div>
    <w:div w:id="16006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giemelissa2627@gmail.com" TargetMode="External"/><Relationship Id="rId18" Type="http://schemas.openxmlformats.org/officeDocument/2006/relationships/hyperlink" Target="https://grupoinvestiguam.wixsite.com/set-lase" TargetMode="External"/><Relationship Id="rId26" Type="http://schemas.openxmlformats.org/officeDocument/2006/relationships/hyperlink" Target="https://revistas.usantotomas.edu.co/index.php/activos/article/view/1758" TargetMode="External"/><Relationship Id="rId3" Type="http://schemas.openxmlformats.org/officeDocument/2006/relationships/styles" Target="styles.xml"/><Relationship Id="rId21" Type="http://schemas.openxmlformats.org/officeDocument/2006/relationships/hyperlink" Target="https://universidadysociedad.com/" TargetMode="External"/><Relationship Id="rId7" Type="http://schemas.openxmlformats.org/officeDocument/2006/relationships/endnotes" Target="endnotes.xml"/><Relationship Id="rId12" Type="http://schemas.openxmlformats.org/officeDocument/2006/relationships/hyperlink" Target="mailto:angie.navarretev@campusucc.edu.co" TargetMode="External"/><Relationship Id="rId17" Type="http://schemas.openxmlformats.org/officeDocument/2006/relationships/hyperlink" Target="https://technocomgroupuam.wordpress.com/" TargetMode="External"/><Relationship Id="rId25" Type="http://schemas.openxmlformats.org/officeDocument/2006/relationships/hyperlink" Target="https://riunet.upv.es/bitstream/handle/10251/71957/ANDREU%20-%20La%20oferta%20formativa%20en%20postgrados%20oficiales%20en%20el%20%C3%A1mbito%20financiero%2C%20contable%20y%20fiscal%20e....pdf?sequence=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chnocomgroupuam.wordpress.com/" TargetMode="External"/><Relationship Id="rId20" Type="http://schemas.openxmlformats.org/officeDocument/2006/relationships/hyperlink" Target="http://www.ibcnetwork.org/" TargetMode="External"/><Relationship Id="rId29" Type="http://schemas.openxmlformats.org/officeDocument/2006/relationships/hyperlink" Target="http://www.eumed.net/rev/caribe/2016/06/investigac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amfa04@gmail.com" TargetMode="External"/><Relationship Id="rId24" Type="http://schemas.openxmlformats.org/officeDocument/2006/relationships/hyperlink" Target="https://www.uam.es/Economicas/Home/1234888110107.htm?language=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idymera94@gmail.com" TargetMode="External"/><Relationship Id="rId23" Type="http://schemas.openxmlformats.org/officeDocument/2006/relationships/hyperlink" Target="https://angelessanchez0.wixsite.com/getem" TargetMode="External"/><Relationship Id="rId28" Type="http://schemas.openxmlformats.org/officeDocument/2006/relationships/hyperlink" Target="http://www.scielo.org.co/pdf/rfce/v23n1/v23n1a04.pdf" TargetMode="External"/><Relationship Id="rId10" Type="http://schemas.openxmlformats.org/officeDocument/2006/relationships/hyperlink" Target="mailto:lina.francoar@campusucc.edu.co" TargetMode="External"/><Relationship Id="rId19" Type="http://schemas.openxmlformats.org/officeDocument/2006/relationships/hyperlink" Target="http://www.uam.es/econr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ninnal@gmail.com" TargetMode="External"/><Relationship Id="rId14" Type="http://schemas.openxmlformats.org/officeDocument/2006/relationships/hyperlink" Target="mailto:leydi.meray@campusucc.edu.co" TargetMode="External"/><Relationship Id="rId22" Type="http://schemas.openxmlformats.org/officeDocument/2006/relationships/hyperlink" Target="https://www.catedrauamaccenture.com/en/research-group/" TargetMode="External"/><Relationship Id="rId27" Type="http://schemas.openxmlformats.org/officeDocument/2006/relationships/hyperlink" Target="file:///C:\Users\Usuario\Downloads\698-Texto%20del%20art%C3%ADculo-3343-1-10-20150303%20(1).pdf" TargetMode="External"/><Relationship Id="rId30" Type="http://schemas.openxmlformats.org/officeDocument/2006/relationships/header" Target="header1.xml"/><Relationship Id="rId8" Type="http://schemas.openxmlformats.org/officeDocument/2006/relationships/hyperlink" Target="mailto:sandra.lopezd@campusucc.edu.c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lina.francoar@campusucc.edu.co" TargetMode="External"/><Relationship Id="rId2" Type="http://schemas.openxmlformats.org/officeDocument/2006/relationships/hyperlink" Target="mailto:leydi.meray@campusucc.edu.co" TargetMode="External"/><Relationship Id="rId1" Type="http://schemas.openxmlformats.org/officeDocument/2006/relationships/hyperlink" Target="mailto:Angie.navarretev@campusucc.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B2E4-0CB7-4D7D-B473-AA392AAF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5648</Words>
  <Characters>31067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Universidad del Valle sede Tuluá</Company>
  <LinksUpToDate>false</LinksUpToDate>
  <CharactersWithSpaces>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 </cp:lastModifiedBy>
  <cp:revision>8</cp:revision>
  <cp:lastPrinted>2015-03-18T22:33:00Z</cp:lastPrinted>
  <dcterms:created xsi:type="dcterms:W3CDTF">2020-06-16T02:40:00Z</dcterms:created>
  <dcterms:modified xsi:type="dcterms:W3CDTF">2020-07-30T05:07:00Z</dcterms:modified>
</cp:coreProperties>
</file>